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D5" w:rsidRDefault="008B6631" w:rsidP="00D847D5">
      <w:pPr>
        <w:rPr>
          <w:b/>
          <w:bCs/>
          <w:sz w:val="32"/>
        </w:rPr>
      </w:pPr>
      <w:bookmarkStart w:id="0" w:name="OLE_LINK2"/>
      <w:bookmarkStart w:id="1" w:name="OLE_LINK3"/>
      <w:bookmarkStart w:id="2" w:name="OLE_LINK7"/>
      <w:r>
        <w:rPr>
          <w:b/>
          <w:bCs/>
          <w:sz w:val="32"/>
        </w:rPr>
        <w:t>S</w:t>
      </w:r>
      <w:r w:rsidR="00BC26B3">
        <w:rPr>
          <w:b/>
          <w:bCs/>
          <w:sz w:val="32"/>
        </w:rPr>
        <w:t>outh Lynden</w:t>
      </w:r>
      <w:r w:rsidR="00D847D5">
        <w:rPr>
          <w:b/>
          <w:bCs/>
          <w:sz w:val="32"/>
        </w:rPr>
        <w:t xml:space="preserve"> Watershed Improvement District</w:t>
      </w:r>
    </w:p>
    <w:p w:rsidR="00D847D5" w:rsidRPr="00897EB5" w:rsidRDefault="001C74D0" w:rsidP="00406081">
      <w:pPr>
        <w:rPr>
          <w:b/>
          <w:bCs/>
          <w:i/>
          <w:sz w:val="22"/>
          <w:szCs w:val="22"/>
        </w:rPr>
      </w:pPr>
      <w:r>
        <w:rPr>
          <w:b/>
          <w:bCs/>
          <w:sz w:val="32"/>
        </w:rPr>
        <w:t>Minutes</w:t>
      </w:r>
      <w:r w:rsidR="00406081">
        <w:rPr>
          <w:b/>
          <w:bCs/>
          <w:sz w:val="32"/>
        </w:rPr>
        <w:t xml:space="preserve"> for:  </w:t>
      </w:r>
      <w:r w:rsidR="00DA0285">
        <w:rPr>
          <w:b/>
          <w:bCs/>
          <w:sz w:val="32"/>
        </w:rPr>
        <w:t>December 8</w:t>
      </w:r>
      <w:r w:rsidR="006C457F">
        <w:rPr>
          <w:b/>
          <w:bCs/>
          <w:sz w:val="32"/>
        </w:rPr>
        <w:t>, 2015</w:t>
      </w:r>
      <w:r w:rsidR="00D847D5">
        <w:rPr>
          <w:sz w:val="32"/>
        </w:rPr>
        <w:t xml:space="preserve"> </w:t>
      </w:r>
      <w:r w:rsidR="00D027A8">
        <w:rPr>
          <w:sz w:val="32"/>
        </w:rPr>
        <w:t xml:space="preserve"> </w:t>
      </w:r>
      <w:r w:rsidR="00D847D5">
        <w:rPr>
          <w:sz w:val="32"/>
        </w:rPr>
        <w:t xml:space="preserve">Meeting, </w:t>
      </w:r>
      <w:r w:rsidR="00BC26B3">
        <w:rPr>
          <w:sz w:val="32"/>
        </w:rPr>
        <w:t>3</w:t>
      </w:r>
      <w:r w:rsidR="008B6631">
        <w:rPr>
          <w:sz w:val="32"/>
        </w:rPr>
        <w:t>p</w:t>
      </w:r>
      <w:r w:rsidR="008C7FDB">
        <w:rPr>
          <w:sz w:val="32"/>
        </w:rPr>
        <w:t xml:space="preserve">m </w:t>
      </w:r>
      <w:r w:rsidR="008B6631">
        <w:rPr>
          <w:sz w:val="32"/>
        </w:rPr>
        <w:t>–</w:t>
      </w:r>
      <w:r w:rsidR="008C7FDB">
        <w:rPr>
          <w:sz w:val="32"/>
        </w:rPr>
        <w:t xml:space="preserve"> </w:t>
      </w:r>
      <w:r w:rsidR="00BC26B3">
        <w:rPr>
          <w:sz w:val="32"/>
        </w:rPr>
        <w:t>5</w:t>
      </w:r>
      <w:r w:rsidR="008B6631">
        <w:rPr>
          <w:sz w:val="32"/>
        </w:rPr>
        <w:t>pm</w:t>
      </w:r>
      <w:r w:rsidR="00D847D5">
        <w:rPr>
          <w:sz w:val="32"/>
        </w:rPr>
        <w:t xml:space="preserve">  </w:t>
      </w:r>
    </w:p>
    <w:p w:rsidR="00D847D5" w:rsidRDefault="00D847D5" w:rsidP="00D847D5">
      <w:pPr>
        <w:pStyle w:val="Heading2"/>
        <w:jc w:val="left"/>
        <w:rPr>
          <w:b w:val="0"/>
          <w:bCs w:val="0"/>
        </w:rPr>
      </w:pPr>
      <w:r>
        <w:t>Ag Central</w:t>
      </w:r>
      <w:r>
        <w:tab/>
      </w:r>
      <w:r w:rsidRPr="005B5E2E">
        <w:rPr>
          <w:b w:val="0"/>
          <w:bCs w:val="0"/>
        </w:rPr>
        <w:t>1796 Front Street</w:t>
      </w:r>
      <w:r w:rsidRPr="005B5E2E">
        <w:rPr>
          <w:b w:val="0"/>
          <w:bCs w:val="0"/>
        </w:rPr>
        <w:tab/>
        <w:t>Lynden, WA 98264</w:t>
      </w:r>
    </w:p>
    <w:p w:rsidR="00BC26B3" w:rsidRPr="00C00AD8" w:rsidRDefault="00BC26B3" w:rsidP="00BC26B3">
      <w:r w:rsidRPr="00C00AD8">
        <w:t>__</w:t>
      </w:r>
      <w:r w:rsidR="007A5197">
        <w:t>x</w:t>
      </w:r>
      <w:r w:rsidRPr="00C00AD8">
        <w:t xml:space="preserve">__  </w:t>
      </w:r>
      <w:r>
        <w:t>Ed Blok</w:t>
      </w:r>
      <w:r w:rsidRPr="00C00AD8">
        <w:tab/>
      </w:r>
      <w:r w:rsidRPr="00C00AD8">
        <w:tab/>
        <w:t>__</w:t>
      </w:r>
      <w:r w:rsidR="007A5197">
        <w:t>x</w:t>
      </w:r>
      <w:r w:rsidRPr="00C00AD8">
        <w:t>__</w:t>
      </w:r>
      <w:r w:rsidRPr="00C00AD8">
        <w:tab/>
      </w:r>
      <w:r>
        <w:t>Jeff De Jong</w:t>
      </w:r>
      <w:r>
        <w:tab/>
      </w:r>
      <w:r>
        <w:tab/>
        <w:t>__</w:t>
      </w:r>
      <w:r w:rsidR="007A5197">
        <w:t>x</w:t>
      </w:r>
      <w:r>
        <w:t>__</w:t>
      </w:r>
      <w:r>
        <w:tab/>
        <w:t xml:space="preserve">Landon Van </w:t>
      </w:r>
      <w:proofErr w:type="spellStart"/>
      <w:r>
        <w:t>Dyk</w:t>
      </w:r>
      <w:proofErr w:type="spellEnd"/>
    </w:p>
    <w:p w:rsidR="00BC26B3" w:rsidRPr="00C00AD8" w:rsidRDefault="00BC26B3" w:rsidP="00BC26B3">
      <w:r>
        <w:t>__</w:t>
      </w:r>
      <w:r w:rsidR="007A5197">
        <w:t>x</w:t>
      </w:r>
      <w:r>
        <w:t>__</w:t>
      </w:r>
      <w:r>
        <w:tab/>
      </w:r>
      <w:r w:rsidR="002A0182">
        <w:t>Rod Vande Hoef</w:t>
      </w:r>
      <w:r w:rsidRPr="00C00AD8">
        <w:tab/>
        <w:t>__</w:t>
      </w:r>
      <w:r w:rsidR="007A5197">
        <w:t>x</w:t>
      </w:r>
      <w:r w:rsidRPr="00C00AD8">
        <w:t>__</w:t>
      </w:r>
      <w:r w:rsidRPr="00C00AD8">
        <w:tab/>
      </w:r>
      <w:r>
        <w:t>Rolf Haugen</w:t>
      </w:r>
    </w:p>
    <w:p w:rsidR="00BC26B3" w:rsidRPr="00C00AD8" w:rsidRDefault="00BC26B3" w:rsidP="00BC26B3"/>
    <w:p w:rsidR="00BC26B3" w:rsidRPr="00C00AD8" w:rsidRDefault="00BC26B3" w:rsidP="00BC26B3">
      <w:r w:rsidRPr="00C00AD8">
        <w:t>__</w:t>
      </w:r>
      <w:r w:rsidR="007A5197">
        <w:t>x</w:t>
      </w:r>
      <w:r w:rsidRPr="00C00AD8">
        <w:t>__</w:t>
      </w:r>
      <w:r w:rsidRPr="00C00AD8">
        <w:tab/>
        <w:t>Henry Bierlink</w:t>
      </w:r>
      <w:r w:rsidRPr="00C00AD8">
        <w:tab/>
        <w:t>__</w:t>
      </w:r>
      <w:r w:rsidR="007A5197">
        <w:t>x</w:t>
      </w:r>
      <w:r w:rsidRPr="00C00AD8">
        <w:t>__</w:t>
      </w:r>
      <w:r w:rsidRPr="00C00AD8">
        <w:tab/>
      </w:r>
      <w:r w:rsidR="007A5197">
        <w:t>Frank Corey</w:t>
      </w:r>
      <w:r w:rsidRPr="00C00AD8">
        <w:t xml:space="preserve"> </w:t>
      </w:r>
      <w:r w:rsidRPr="00C00AD8">
        <w:tab/>
      </w:r>
      <w:r w:rsidRPr="00C00AD8">
        <w:tab/>
        <w:t>__</w:t>
      </w:r>
      <w:r w:rsidR="007A5197">
        <w:t>x</w:t>
      </w:r>
      <w:r w:rsidRPr="00C00AD8">
        <w:t>__</w:t>
      </w:r>
      <w:r w:rsidRPr="00C00AD8">
        <w:tab/>
      </w:r>
      <w:r>
        <w:t>Fred Likkel</w:t>
      </w:r>
    </w:p>
    <w:p w:rsidR="00BC26B3" w:rsidRPr="00C00AD8" w:rsidRDefault="00BC26B3" w:rsidP="00BC26B3">
      <w:r w:rsidRPr="00C00AD8">
        <w:t>__</w:t>
      </w:r>
      <w:r>
        <w:t>__</w:t>
      </w:r>
      <w:r w:rsidRPr="00C00AD8">
        <w:t>_</w:t>
      </w:r>
      <w:r w:rsidRPr="00C00AD8">
        <w:tab/>
      </w:r>
      <w:r>
        <w:t>Jeff Gollen</w:t>
      </w:r>
      <w:r>
        <w:tab/>
      </w:r>
      <w:r w:rsidRPr="00C00AD8">
        <w:tab/>
        <w:t>__</w:t>
      </w:r>
      <w:r w:rsidR="007A5197">
        <w:t>x</w:t>
      </w:r>
      <w:r w:rsidRPr="00C00AD8">
        <w:t>__</w:t>
      </w:r>
      <w:r w:rsidRPr="00C00AD8">
        <w:tab/>
      </w:r>
      <w:r w:rsidR="007A5197">
        <w:t>Heather McKay</w:t>
      </w:r>
      <w:r w:rsidRPr="00C00AD8">
        <w:tab/>
      </w:r>
      <w:r w:rsidR="007A5197" w:rsidRPr="00C00AD8">
        <w:t>__</w:t>
      </w:r>
      <w:r w:rsidR="007A5197">
        <w:t>x</w:t>
      </w:r>
      <w:r w:rsidR="007A5197" w:rsidRPr="00C00AD8">
        <w:t>__</w:t>
      </w:r>
      <w:r w:rsidR="007A5197" w:rsidRPr="00C00AD8">
        <w:tab/>
      </w:r>
      <w:r w:rsidR="007A5197">
        <w:t xml:space="preserve">Jake De </w:t>
      </w:r>
      <w:proofErr w:type="spellStart"/>
      <w:r w:rsidR="007A5197">
        <w:t>Hoog</w:t>
      </w:r>
      <w:proofErr w:type="spellEnd"/>
      <w:r w:rsidRPr="00C00AD8">
        <w:tab/>
      </w:r>
    </w:p>
    <w:p w:rsidR="001C74D0" w:rsidRDefault="001C74D0" w:rsidP="001C74D0">
      <w:r w:rsidRPr="0023327B">
        <w:t>x = present</w:t>
      </w:r>
      <w:r w:rsidRPr="0023327B">
        <w:tab/>
      </w:r>
      <w:r w:rsidRPr="0023327B">
        <w:tab/>
        <w:t>o = absent with notice</w:t>
      </w:r>
      <w:r>
        <w:tab/>
      </w:r>
      <w:r>
        <w:tab/>
      </w:r>
      <w:r>
        <w:tab/>
        <w:t>t = teleconference</w:t>
      </w:r>
    </w:p>
    <w:p w:rsidR="00DA0285" w:rsidRPr="007A5197" w:rsidRDefault="00DA0285" w:rsidP="00DA0285">
      <w:pPr>
        <w:jc w:val="center"/>
        <w:rPr>
          <w:b/>
          <w:sz w:val="12"/>
          <w:szCs w:val="12"/>
        </w:rPr>
      </w:pPr>
    </w:p>
    <w:p w:rsidR="00DA0285" w:rsidRDefault="00DA0285" w:rsidP="00DA0285">
      <w:pPr>
        <w:jc w:val="center"/>
        <w:rPr>
          <w:b/>
          <w:sz w:val="28"/>
          <w:szCs w:val="28"/>
        </w:rPr>
      </w:pPr>
      <w:r w:rsidRPr="00F225D1">
        <w:rPr>
          <w:b/>
          <w:sz w:val="28"/>
          <w:szCs w:val="28"/>
        </w:rPr>
        <w:t>Board of Equalization Hearing</w:t>
      </w:r>
    </w:p>
    <w:p w:rsidR="00DA0285" w:rsidRPr="00F225D1" w:rsidRDefault="00DA0285" w:rsidP="00DA0285">
      <w:pPr>
        <w:jc w:val="center"/>
        <w:rPr>
          <w:sz w:val="20"/>
          <w:szCs w:val="20"/>
        </w:rPr>
      </w:pPr>
      <w:r>
        <w:rPr>
          <w:sz w:val="20"/>
          <w:szCs w:val="20"/>
        </w:rPr>
        <w:t xml:space="preserve">Public has opportunity to contest Assessments.   WID board must determine if petitioners provide clear evidence they would not receive value from WID actions equal to the Assessment amount.     WID Board could vote to eliminate or reduce the assessment on individual parcels.   Once completed the Regular Board Meeting commences.   </w:t>
      </w:r>
    </w:p>
    <w:p w:rsidR="00DA0285" w:rsidRDefault="00DA0285" w:rsidP="00DA0285">
      <w:pPr>
        <w:rPr>
          <w:sz w:val="12"/>
          <w:szCs w:val="12"/>
        </w:rPr>
      </w:pPr>
    </w:p>
    <w:p w:rsidR="00532F8F" w:rsidRDefault="007A5197" w:rsidP="00532F8F">
      <w:pPr>
        <w:rPr>
          <w:sz w:val="12"/>
          <w:szCs w:val="12"/>
        </w:rPr>
      </w:pPr>
      <w:r>
        <w:rPr>
          <w:sz w:val="22"/>
          <w:szCs w:val="22"/>
        </w:rPr>
        <w:t>Ed</w:t>
      </w:r>
      <w:r w:rsidR="00532F8F" w:rsidRPr="00F31E57">
        <w:rPr>
          <w:sz w:val="22"/>
          <w:szCs w:val="22"/>
        </w:rPr>
        <w:t xml:space="preserve"> opened the Hearing.   </w:t>
      </w:r>
      <w:r>
        <w:rPr>
          <w:sz w:val="22"/>
          <w:szCs w:val="22"/>
        </w:rPr>
        <w:t xml:space="preserve">Rolf </w:t>
      </w:r>
      <w:r w:rsidR="00532F8F">
        <w:rPr>
          <w:sz w:val="22"/>
          <w:szCs w:val="22"/>
        </w:rPr>
        <w:t xml:space="preserve"> moved to close the hearing</w:t>
      </w:r>
      <w:r w:rsidR="00532F8F" w:rsidRPr="00F31E57">
        <w:rPr>
          <w:sz w:val="22"/>
          <w:szCs w:val="22"/>
        </w:rPr>
        <w:t xml:space="preserve">, </w:t>
      </w:r>
      <w:r>
        <w:rPr>
          <w:sz w:val="22"/>
          <w:szCs w:val="22"/>
        </w:rPr>
        <w:t>Jeff</w:t>
      </w:r>
      <w:r w:rsidR="00532F8F" w:rsidRPr="00F31E57">
        <w:rPr>
          <w:sz w:val="22"/>
          <w:szCs w:val="22"/>
        </w:rPr>
        <w:t xml:space="preserve"> seconded, motion carried unanimously.    </w:t>
      </w:r>
    </w:p>
    <w:p w:rsidR="00DA0285" w:rsidRPr="00703C17" w:rsidRDefault="00DA0285" w:rsidP="00DA0285">
      <w:pPr>
        <w:rPr>
          <w:sz w:val="12"/>
          <w:szCs w:val="12"/>
        </w:rPr>
      </w:pPr>
    </w:p>
    <w:p w:rsidR="00DA0285" w:rsidRDefault="00DA0285" w:rsidP="00DA0285">
      <w:pPr>
        <w:pStyle w:val="Heading1"/>
        <w:numPr>
          <w:ilvl w:val="0"/>
          <w:numId w:val="4"/>
        </w:numPr>
        <w:tabs>
          <w:tab w:val="clear" w:pos="1260"/>
          <w:tab w:val="num" w:pos="720"/>
        </w:tabs>
        <w:spacing w:before="0" w:after="0"/>
        <w:ind w:hanging="1260"/>
        <w:rPr>
          <w:rFonts w:ascii="Times New Roman" w:hAnsi="Times New Roman"/>
          <w:sz w:val="28"/>
          <w:szCs w:val="28"/>
        </w:rPr>
      </w:pPr>
      <w:bookmarkStart w:id="3" w:name="OLE_LINK1"/>
      <w:bookmarkStart w:id="4" w:name="OLE_LINK5"/>
      <w:bookmarkStart w:id="5" w:name="OLE_LINK6"/>
      <w:bookmarkStart w:id="6" w:name="OLE_LINK4"/>
      <w:r>
        <w:rPr>
          <w:rFonts w:ascii="Times New Roman" w:hAnsi="Times New Roman"/>
          <w:sz w:val="28"/>
          <w:szCs w:val="28"/>
        </w:rPr>
        <w:t xml:space="preserve">Consent Agenda   </w:t>
      </w:r>
    </w:p>
    <w:p w:rsidR="00DA0285" w:rsidRPr="00BC23D1" w:rsidRDefault="00DA0285" w:rsidP="00DA0285">
      <w:pPr>
        <w:pStyle w:val="Heading1"/>
        <w:numPr>
          <w:ilvl w:val="0"/>
          <w:numId w:val="27"/>
        </w:numPr>
        <w:spacing w:before="0" w:after="0"/>
        <w:ind w:left="1080" w:firstLine="90"/>
        <w:rPr>
          <w:b w:val="0"/>
          <w:sz w:val="22"/>
          <w:szCs w:val="22"/>
        </w:rPr>
      </w:pPr>
      <w:r w:rsidRPr="00BC23D1">
        <w:rPr>
          <w:rFonts w:ascii="Times New Roman" w:hAnsi="Times New Roman"/>
          <w:b w:val="0"/>
          <w:sz w:val="22"/>
          <w:szCs w:val="22"/>
        </w:rPr>
        <w:t xml:space="preserve"> Review and Approval of </w:t>
      </w:r>
      <w:r>
        <w:rPr>
          <w:rFonts w:ascii="Times New Roman" w:hAnsi="Times New Roman"/>
          <w:b w:val="0"/>
          <w:sz w:val="22"/>
          <w:szCs w:val="22"/>
        </w:rPr>
        <w:t>November 10</w:t>
      </w:r>
      <w:r w:rsidRPr="00BC23D1">
        <w:rPr>
          <w:rFonts w:ascii="Times New Roman" w:hAnsi="Times New Roman"/>
          <w:b w:val="0"/>
          <w:sz w:val="22"/>
          <w:szCs w:val="22"/>
        </w:rPr>
        <w:t xml:space="preserve"> Minutes</w:t>
      </w:r>
      <w:r w:rsidRPr="00BC23D1">
        <w:rPr>
          <w:b w:val="0"/>
          <w:sz w:val="22"/>
          <w:szCs w:val="22"/>
        </w:rPr>
        <w:t xml:space="preserve">  </w:t>
      </w:r>
    </w:p>
    <w:p w:rsidR="00DA0285" w:rsidRPr="006D1F5A" w:rsidRDefault="00DA0285" w:rsidP="00DA0285">
      <w:pPr>
        <w:pStyle w:val="ListParagraph"/>
        <w:numPr>
          <w:ilvl w:val="0"/>
          <w:numId w:val="27"/>
        </w:numPr>
        <w:ind w:hanging="270"/>
        <w:rPr>
          <w:color w:val="FF0000"/>
          <w:sz w:val="16"/>
          <w:szCs w:val="16"/>
        </w:rPr>
      </w:pPr>
      <w:r w:rsidRPr="00BC23D1">
        <w:rPr>
          <w:sz w:val="22"/>
          <w:szCs w:val="22"/>
        </w:rPr>
        <w:t xml:space="preserve"> Financial Report</w:t>
      </w:r>
      <w:r>
        <w:t xml:space="preserve"> and payment of bills</w:t>
      </w:r>
    </w:p>
    <w:p w:rsidR="00DA0285" w:rsidRDefault="00DA0285" w:rsidP="00DA0285">
      <w:pPr>
        <w:rPr>
          <w:color w:val="FF0000"/>
          <w:sz w:val="16"/>
          <w:szCs w:val="16"/>
        </w:rPr>
      </w:pPr>
    </w:p>
    <w:tbl>
      <w:tblPr>
        <w:tblW w:w="9846" w:type="dxa"/>
        <w:tblInd w:w="-90" w:type="dxa"/>
        <w:tblLook w:val="04A0" w:firstRow="1" w:lastRow="0" w:firstColumn="1" w:lastColumn="0" w:noHBand="0" w:noVBand="1"/>
      </w:tblPr>
      <w:tblGrid>
        <w:gridCol w:w="531"/>
        <w:gridCol w:w="1779"/>
        <w:gridCol w:w="1486"/>
        <w:gridCol w:w="1608"/>
        <w:gridCol w:w="194"/>
        <w:gridCol w:w="1659"/>
        <w:gridCol w:w="1107"/>
        <w:gridCol w:w="1482"/>
      </w:tblGrid>
      <w:tr w:rsidR="00DA0285" w:rsidRPr="00743E5E" w:rsidTr="007A5197">
        <w:trPr>
          <w:trHeight w:val="315"/>
        </w:trPr>
        <w:tc>
          <w:tcPr>
            <w:tcW w:w="531"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779"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02" w:type="dxa"/>
            <w:gridSpan w:val="2"/>
            <w:tcBorders>
              <w:top w:val="nil"/>
              <w:left w:val="nil"/>
              <w:bottom w:val="nil"/>
              <w:right w:val="nil"/>
            </w:tcBorders>
            <w:shd w:val="clear" w:color="auto" w:fill="auto"/>
            <w:vAlign w:val="bottom"/>
            <w:hideMark/>
          </w:tcPr>
          <w:p w:rsidR="00DA0285" w:rsidRPr="00743E5E" w:rsidRDefault="00DA0285" w:rsidP="000829DB">
            <w:pPr>
              <w:jc w:val="center"/>
              <w:rPr>
                <w:rFonts w:ascii="Calibri" w:hAnsi="Calibri"/>
                <w:color w:val="000000"/>
                <w:sz w:val="22"/>
                <w:szCs w:val="22"/>
                <w:u w:val="single"/>
              </w:rPr>
            </w:pPr>
            <w:r w:rsidRPr="00743E5E">
              <w:rPr>
                <w:rFonts w:ascii="Calibri" w:hAnsi="Calibri"/>
                <w:color w:val="000000"/>
                <w:sz w:val="22"/>
                <w:szCs w:val="22"/>
                <w:u w:val="single"/>
              </w:rPr>
              <w:t>Original Amount</w:t>
            </w:r>
          </w:p>
        </w:tc>
        <w:tc>
          <w:tcPr>
            <w:tcW w:w="1659" w:type="dxa"/>
            <w:tcBorders>
              <w:top w:val="nil"/>
              <w:left w:val="nil"/>
              <w:bottom w:val="nil"/>
              <w:right w:val="nil"/>
            </w:tcBorders>
            <w:shd w:val="clear" w:color="auto" w:fill="auto"/>
            <w:noWrap/>
            <w:vAlign w:val="bottom"/>
            <w:hideMark/>
          </w:tcPr>
          <w:p w:rsidR="00DA0285" w:rsidRPr="00743E5E" w:rsidRDefault="00DA0285" w:rsidP="000829DB">
            <w:pPr>
              <w:jc w:val="center"/>
              <w:rPr>
                <w:rFonts w:ascii="Calibri" w:hAnsi="Calibri"/>
                <w:color w:val="000000"/>
                <w:sz w:val="22"/>
                <w:szCs w:val="22"/>
                <w:u w:val="single"/>
              </w:rPr>
            </w:pPr>
            <w:r w:rsidRPr="00743E5E">
              <w:rPr>
                <w:rFonts w:ascii="Calibri" w:hAnsi="Calibri"/>
                <w:color w:val="000000"/>
                <w:sz w:val="22"/>
                <w:szCs w:val="22"/>
                <w:u w:val="single"/>
              </w:rPr>
              <w:t>This Month</w:t>
            </w:r>
          </w:p>
        </w:tc>
        <w:tc>
          <w:tcPr>
            <w:tcW w:w="1107" w:type="dxa"/>
            <w:tcBorders>
              <w:top w:val="nil"/>
              <w:left w:val="nil"/>
              <w:bottom w:val="nil"/>
              <w:right w:val="nil"/>
            </w:tcBorders>
            <w:shd w:val="clear" w:color="auto" w:fill="auto"/>
            <w:noWrap/>
            <w:vAlign w:val="bottom"/>
            <w:hideMark/>
          </w:tcPr>
          <w:p w:rsidR="00DA0285" w:rsidRPr="00743E5E" w:rsidRDefault="00DA0285" w:rsidP="000829DB">
            <w:pPr>
              <w:jc w:val="center"/>
              <w:rPr>
                <w:rFonts w:ascii="Calibri" w:hAnsi="Calibri"/>
                <w:color w:val="000000"/>
                <w:sz w:val="22"/>
                <w:szCs w:val="22"/>
                <w:u w:val="single"/>
              </w:rPr>
            </w:pPr>
            <w:r w:rsidRPr="00743E5E">
              <w:rPr>
                <w:rFonts w:ascii="Calibri" w:hAnsi="Calibri"/>
                <w:color w:val="000000"/>
                <w:sz w:val="22"/>
                <w:szCs w:val="22"/>
                <w:u w:val="single"/>
              </w:rPr>
              <w:t>Total</w:t>
            </w:r>
          </w:p>
        </w:tc>
        <w:tc>
          <w:tcPr>
            <w:tcW w:w="1482" w:type="dxa"/>
            <w:tcBorders>
              <w:top w:val="nil"/>
              <w:left w:val="nil"/>
              <w:bottom w:val="nil"/>
              <w:right w:val="nil"/>
            </w:tcBorders>
            <w:shd w:val="clear" w:color="auto" w:fill="auto"/>
            <w:vAlign w:val="bottom"/>
            <w:hideMark/>
          </w:tcPr>
          <w:p w:rsidR="00DA0285" w:rsidRPr="00743E5E" w:rsidRDefault="00DA0285" w:rsidP="000829DB">
            <w:pPr>
              <w:jc w:val="center"/>
              <w:rPr>
                <w:rFonts w:ascii="Calibri" w:hAnsi="Calibri"/>
                <w:color w:val="000000"/>
                <w:sz w:val="22"/>
                <w:szCs w:val="22"/>
                <w:u w:val="single"/>
              </w:rPr>
            </w:pPr>
            <w:r w:rsidRPr="00743E5E">
              <w:rPr>
                <w:rFonts w:ascii="Calibri" w:hAnsi="Calibri"/>
                <w:color w:val="000000"/>
                <w:sz w:val="22"/>
                <w:szCs w:val="22"/>
                <w:u w:val="single"/>
              </w:rPr>
              <w:t>Available</w:t>
            </w:r>
          </w:p>
        </w:tc>
      </w:tr>
      <w:tr w:rsidR="00DA0285" w:rsidRPr="00743E5E" w:rsidTr="007A5197">
        <w:trPr>
          <w:trHeight w:val="300"/>
        </w:trPr>
        <w:tc>
          <w:tcPr>
            <w:tcW w:w="2310"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Grant #1</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608"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 xml:space="preserve">$0.00 </w:t>
            </w:r>
          </w:p>
        </w:tc>
        <w:tc>
          <w:tcPr>
            <w:tcW w:w="1853"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C00000"/>
                <w:sz w:val="22"/>
                <w:szCs w:val="22"/>
              </w:rPr>
            </w:pP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C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 xml:space="preserve">$0.00 </w:t>
            </w:r>
          </w:p>
        </w:tc>
      </w:tr>
      <w:tr w:rsidR="00DA0285" w:rsidRPr="00743E5E" w:rsidTr="007A5197">
        <w:trPr>
          <w:trHeight w:val="300"/>
        </w:trPr>
        <w:tc>
          <w:tcPr>
            <w:tcW w:w="2310"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 xml:space="preserve">Fund Balance @ </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12/1/2015</w:t>
            </w: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53" w:type="dxa"/>
            <w:gridSpan w:val="2"/>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sz w:val="22"/>
                <w:szCs w:val="22"/>
              </w:rPr>
            </w:pPr>
            <w:r w:rsidRPr="00743E5E">
              <w:rPr>
                <w:rFonts w:ascii="Calibri" w:hAnsi="Calibri"/>
                <w:sz w:val="22"/>
                <w:szCs w:val="22"/>
              </w:rPr>
              <w:t xml:space="preserve">$33,143.78 </w:t>
            </w: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r>
      <w:tr w:rsidR="00DA0285" w:rsidRPr="00743E5E" w:rsidTr="007A5197">
        <w:trPr>
          <w:trHeight w:val="300"/>
        </w:trPr>
        <w:tc>
          <w:tcPr>
            <w:tcW w:w="2310"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 xml:space="preserve">Accounts Payable </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53"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C00000"/>
                <w:sz w:val="22"/>
                <w:szCs w:val="22"/>
              </w:rPr>
            </w:pP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r>
      <w:tr w:rsidR="00DA0285" w:rsidRPr="00743E5E" w:rsidTr="007A5197">
        <w:trPr>
          <w:trHeight w:val="300"/>
        </w:trPr>
        <w:tc>
          <w:tcPr>
            <w:tcW w:w="5404" w:type="dxa"/>
            <w:gridSpan w:val="4"/>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Invoices Submitted for reimbursement</w:t>
            </w:r>
          </w:p>
        </w:tc>
        <w:tc>
          <w:tcPr>
            <w:tcW w:w="1853"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r>
      <w:tr w:rsidR="00DA0285" w:rsidRPr="00743E5E" w:rsidTr="007A5197">
        <w:trPr>
          <w:trHeight w:val="300"/>
        </w:trPr>
        <w:tc>
          <w:tcPr>
            <w:tcW w:w="531"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779"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TOTAL Available</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53"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 xml:space="preserve">$33,143.78 </w:t>
            </w:r>
          </w:p>
        </w:tc>
      </w:tr>
      <w:tr w:rsidR="00DA0285" w:rsidRPr="00743E5E" w:rsidTr="007A5197">
        <w:trPr>
          <w:trHeight w:val="300"/>
        </w:trPr>
        <w:tc>
          <w:tcPr>
            <w:tcW w:w="2310"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Outstanding bills:</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53"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FF0000"/>
                <w:sz w:val="22"/>
                <w:szCs w:val="22"/>
              </w:rPr>
            </w:pPr>
            <w:r w:rsidRPr="00743E5E">
              <w:rPr>
                <w:rFonts w:ascii="Calibri" w:hAnsi="Calibri"/>
                <w:color w:val="FF0000"/>
                <w:sz w:val="22"/>
                <w:szCs w:val="22"/>
              </w:rPr>
              <w:t xml:space="preserve">$6,382.00 </w:t>
            </w:r>
          </w:p>
        </w:tc>
      </w:tr>
      <w:tr w:rsidR="00DA0285" w:rsidRPr="00743E5E" w:rsidTr="007A5197">
        <w:trPr>
          <w:trHeight w:val="300"/>
        </w:trPr>
        <w:tc>
          <w:tcPr>
            <w:tcW w:w="531"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3265"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Whatcom Farm Friends</w:t>
            </w:r>
          </w:p>
        </w:tc>
        <w:tc>
          <w:tcPr>
            <w:tcW w:w="3461" w:type="dxa"/>
            <w:gridSpan w:val="3"/>
            <w:tcBorders>
              <w:top w:val="nil"/>
              <w:left w:val="nil"/>
              <w:bottom w:val="nil"/>
              <w:right w:val="nil"/>
            </w:tcBorders>
            <w:shd w:val="clear" w:color="auto" w:fill="auto"/>
            <w:noWrap/>
            <w:vAlign w:val="bottom"/>
            <w:hideMark/>
          </w:tcPr>
          <w:p w:rsidR="00DA0285" w:rsidRPr="00743E5E" w:rsidRDefault="00DA0285" w:rsidP="000829DB">
            <w:pPr>
              <w:rPr>
                <w:rFonts w:ascii="Calibri" w:hAnsi="Calibri"/>
                <w:i/>
                <w:iCs/>
                <w:color w:val="000000"/>
                <w:sz w:val="22"/>
                <w:szCs w:val="22"/>
              </w:rPr>
            </w:pPr>
            <w:r w:rsidRPr="00743E5E">
              <w:rPr>
                <w:rFonts w:ascii="Calibri" w:hAnsi="Calibri"/>
                <w:i/>
                <w:iCs/>
                <w:color w:val="000000"/>
                <w:sz w:val="22"/>
                <w:szCs w:val="22"/>
              </w:rPr>
              <w:t>Nov Admin, mailing</w:t>
            </w:r>
          </w:p>
        </w:tc>
        <w:tc>
          <w:tcPr>
            <w:tcW w:w="1107"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FF0000"/>
                <w:sz w:val="22"/>
                <w:szCs w:val="22"/>
              </w:rPr>
            </w:pPr>
            <w:r w:rsidRPr="00743E5E">
              <w:rPr>
                <w:rFonts w:ascii="Calibri" w:hAnsi="Calibri"/>
                <w:color w:val="FF0000"/>
                <w:sz w:val="22"/>
                <w:szCs w:val="22"/>
              </w:rPr>
              <w:t>$1,242.00</w:t>
            </w:r>
          </w:p>
        </w:tc>
        <w:tc>
          <w:tcPr>
            <w:tcW w:w="1482"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r>
      <w:tr w:rsidR="00DA0285" w:rsidRPr="00743E5E" w:rsidTr="007A5197">
        <w:trPr>
          <w:trHeight w:val="300"/>
        </w:trPr>
        <w:tc>
          <w:tcPr>
            <w:tcW w:w="531"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779"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N3</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3461" w:type="dxa"/>
            <w:gridSpan w:val="3"/>
            <w:tcBorders>
              <w:top w:val="nil"/>
              <w:left w:val="nil"/>
              <w:bottom w:val="nil"/>
              <w:right w:val="nil"/>
            </w:tcBorders>
            <w:shd w:val="clear" w:color="auto" w:fill="auto"/>
            <w:noWrap/>
            <w:vAlign w:val="bottom"/>
            <w:hideMark/>
          </w:tcPr>
          <w:p w:rsidR="00DA0285" w:rsidRPr="00743E5E" w:rsidRDefault="00DA0285" w:rsidP="000829DB">
            <w:pPr>
              <w:rPr>
                <w:rFonts w:ascii="Calibri" w:hAnsi="Calibri"/>
                <w:i/>
                <w:iCs/>
                <w:color w:val="000000"/>
                <w:sz w:val="22"/>
                <w:szCs w:val="22"/>
              </w:rPr>
            </w:pPr>
            <w:r w:rsidRPr="00743E5E">
              <w:rPr>
                <w:rFonts w:ascii="Calibri" w:hAnsi="Calibri"/>
                <w:i/>
                <w:iCs/>
                <w:color w:val="000000"/>
                <w:sz w:val="22"/>
                <w:szCs w:val="22"/>
              </w:rPr>
              <w:t>Water Quality testing</w:t>
            </w:r>
          </w:p>
        </w:tc>
        <w:tc>
          <w:tcPr>
            <w:tcW w:w="1107"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FF0000"/>
                <w:sz w:val="22"/>
                <w:szCs w:val="22"/>
              </w:rPr>
            </w:pPr>
            <w:r w:rsidRPr="00743E5E">
              <w:rPr>
                <w:rFonts w:ascii="Calibri" w:hAnsi="Calibri"/>
                <w:color w:val="FF0000"/>
                <w:sz w:val="22"/>
                <w:szCs w:val="22"/>
              </w:rPr>
              <w:t>$140.00</w:t>
            </w:r>
          </w:p>
        </w:tc>
        <w:tc>
          <w:tcPr>
            <w:tcW w:w="1482"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r>
      <w:tr w:rsidR="00DA0285" w:rsidRPr="00743E5E" w:rsidTr="007A5197">
        <w:trPr>
          <w:trHeight w:val="300"/>
        </w:trPr>
        <w:tc>
          <w:tcPr>
            <w:tcW w:w="531"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3265"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Agincourt Strategies LLC</w:t>
            </w:r>
          </w:p>
        </w:tc>
        <w:tc>
          <w:tcPr>
            <w:tcW w:w="3461" w:type="dxa"/>
            <w:gridSpan w:val="3"/>
            <w:tcBorders>
              <w:top w:val="nil"/>
              <w:left w:val="nil"/>
              <w:bottom w:val="nil"/>
              <w:right w:val="nil"/>
            </w:tcBorders>
            <w:shd w:val="clear" w:color="auto" w:fill="auto"/>
            <w:noWrap/>
            <w:vAlign w:val="bottom"/>
            <w:hideMark/>
          </w:tcPr>
          <w:p w:rsidR="00DA0285" w:rsidRPr="00743E5E" w:rsidRDefault="00DA0285" w:rsidP="000829DB">
            <w:pPr>
              <w:rPr>
                <w:rFonts w:ascii="Calibri" w:hAnsi="Calibri"/>
                <w:i/>
                <w:iCs/>
                <w:color w:val="000000"/>
                <w:sz w:val="22"/>
                <w:szCs w:val="22"/>
              </w:rPr>
            </w:pPr>
            <w:r w:rsidRPr="00743E5E">
              <w:rPr>
                <w:rFonts w:ascii="Calibri" w:hAnsi="Calibri"/>
                <w:i/>
                <w:iCs/>
                <w:color w:val="000000"/>
                <w:sz w:val="22"/>
                <w:szCs w:val="22"/>
              </w:rPr>
              <w:t>AWB Media Relations- Oct - Nov</w:t>
            </w:r>
          </w:p>
        </w:tc>
        <w:tc>
          <w:tcPr>
            <w:tcW w:w="1107"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FF0000"/>
                <w:sz w:val="22"/>
                <w:szCs w:val="22"/>
              </w:rPr>
            </w:pPr>
            <w:r w:rsidRPr="00743E5E">
              <w:rPr>
                <w:rFonts w:ascii="Calibri" w:hAnsi="Calibri"/>
                <w:color w:val="FF0000"/>
                <w:sz w:val="22"/>
                <w:szCs w:val="22"/>
              </w:rPr>
              <w:t>$5,000.00</w:t>
            </w:r>
          </w:p>
        </w:tc>
        <w:tc>
          <w:tcPr>
            <w:tcW w:w="1482"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r>
      <w:tr w:rsidR="00DA0285" w:rsidRPr="00743E5E" w:rsidTr="007A5197">
        <w:trPr>
          <w:trHeight w:val="300"/>
        </w:trPr>
        <w:tc>
          <w:tcPr>
            <w:tcW w:w="2310"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End of Month Balance</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53"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b/>
                <w:bCs/>
                <w:color w:val="000000"/>
                <w:sz w:val="22"/>
                <w:szCs w:val="22"/>
              </w:rPr>
            </w:pPr>
            <w:r w:rsidRPr="00743E5E">
              <w:rPr>
                <w:rFonts w:ascii="Calibri" w:hAnsi="Calibri"/>
                <w:b/>
                <w:bCs/>
                <w:color w:val="000000"/>
                <w:sz w:val="22"/>
                <w:szCs w:val="22"/>
              </w:rPr>
              <w:t xml:space="preserve">$26,761.78 </w:t>
            </w:r>
          </w:p>
        </w:tc>
      </w:tr>
      <w:tr w:rsidR="00DA0285" w:rsidRPr="00743E5E" w:rsidTr="007A5197">
        <w:trPr>
          <w:trHeight w:val="207"/>
        </w:trPr>
        <w:tc>
          <w:tcPr>
            <w:tcW w:w="531"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b/>
                <w:bCs/>
                <w:color w:val="000000"/>
                <w:sz w:val="22"/>
                <w:szCs w:val="22"/>
              </w:rPr>
            </w:pPr>
          </w:p>
        </w:tc>
        <w:tc>
          <w:tcPr>
            <w:tcW w:w="1779"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53"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r>
      <w:tr w:rsidR="00DA0285" w:rsidRPr="00743E5E" w:rsidTr="007A5197">
        <w:trPr>
          <w:trHeight w:val="300"/>
        </w:trPr>
        <w:tc>
          <w:tcPr>
            <w:tcW w:w="531"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779"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DA0285" w:rsidRPr="00743E5E" w:rsidRDefault="00DA0285" w:rsidP="000829DB">
            <w:pPr>
              <w:jc w:val="center"/>
              <w:rPr>
                <w:rFonts w:ascii="Calibri" w:hAnsi="Calibri"/>
                <w:color w:val="000000"/>
                <w:sz w:val="22"/>
                <w:szCs w:val="22"/>
                <w:u w:val="single"/>
              </w:rPr>
            </w:pPr>
            <w:r w:rsidRPr="00743E5E">
              <w:rPr>
                <w:rFonts w:ascii="Calibri" w:hAnsi="Calibri"/>
                <w:color w:val="000000"/>
                <w:sz w:val="22"/>
                <w:szCs w:val="22"/>
                <w:u w:val="single"/>
              </w:rPr>
              <w:t>2015 Budget</w:t>
            </w:r>
          </w:p>
        </w:tc>
        <w:tc>
          <w:tcPr>
            <w:tcW w:w="1608" w:type="dxa"/>
            <w:tcBorders>
              <w:top w:val="nil"/>
              <w:left w:val="nil"/>
              <w:bottom w:val="nil"/>
              <w:right w:val="nil"/>
            </w:tcBorders>
            <w:shd w:val="clear" w:color="auto" w:fill="auto"/>
            <w:noWrap/>
            <w:vAlign w:val="bottom"/>
            <w:hideMark/>
          </w:tcPr>
          <w:p w:rsidR="00DA0285" w:rsidRPr="00743E5E" w:rsidRDefault="00DA0285" w:rsidP="000829DB">
            <w:pPr>
              <w:jc w:val="center"/>
              <w:rPr>
                <w:rFonts w:ascii="Calibri" w:hAnsi="Calibri"/>
                <w:color w:val="000000"/>
                <w:sz w:val="22"/>
                <w:szCs w:val="22"/>
                <w:u w:val="single"/>
              </w:rPr>
            </w:pPr>
          </w:p>
        </w:tc>
        <w:tc>
          <w:tcPr>
            <w:tcW w:w="1853" w:type="dxa"/>
            <w:gridSpan w:val="2"/>
            <w:tcBorders>
              <w:top w:val="nil"/>
              <w:left w:val="nil"/>
              <w:bottom w:val="nil"/>
              <w:right w:val="nil"/>
            </w:tcBorders>
            <w:shd w:val="clear" w:color="auto" w:fill="auto"/>
            <w:noWrap/>
            <w:vAlign w:val="bottom"/>
            <w:hideMark/>
          </w:tcPr>
          <w:p w:rsidR="00DA0285" w:rsidRPr="00743E5E" w:rsidRDefault="00DA0285" w:rsidP="000829DB">
            <w:pPr>
              <w:jc w:val="center"/>
              <w:rPr>
                <w:rFonts w:ascii="Calibri" w:hAnsi="Calibri"/>
                <w:color w:val="000000"/>
                <w:sz w:val="22"/>
                <w:szCs w:val="22"/>
                <w:u w:val="single"/>
              </w:rPr>
            </w:pPr>
            <w:r w:rsidRPr="00743E5E">
              <w:rPr>
                <w:rFonts w:ascii="Calibri" w:hAnsi="Calibri"/>
                <w:color w:val="000000"/>
                <w:sz w:val="22"/>
                <w:szCs w:val="22"/>
                <w:u w:val="single"/>
              </w:rPr>
              <w:t>Expended to Date</w:t>
            </w:r>
          </w:p>
        </w:tc>
        <w:tc>
          <w:tcPr>
            <w:tcW w:w="1107" w:type="dxa"/>
            <w:tcBorders>
              <w:top w:val="nil"/>
              <w:left w:val="nil"/>
              <w:bottom w:val="nil"/>
              <w:right w:val="nil"/>
            </w:tcBorders>
            <w:shd w:val="clear" w:color="auto" w:fill="auto"/>
            <w:noWrap/>
            <w:vAlign w:val="bottom"/>
            <w:hideMark/>
          </w:tcPr>
          <w:p w:rsidR="00DA0285" w:rsidRPr="00743E5E" w:rsidRDefault="00DA0285" w:rsidP="000829DB">
            <w:pPr>
              <w:jc w:val="center"/>
              <w:rPr>
                <w:rFonts w:ascii="Calibri" w:hAnsi="Calibri"/>
                <w:color w:val="000000"/>
                <w:sz w:val="22"/>
                <w:szCs w:val="22"/>
                <w:u w:val="single"/>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jc w:val="center"/>
              <w:rPr>
                <w:rFonts w:ascii="Calibri" w:hAnsi="Calibri"/>
                <w:color w:val="000000"/>
                <w:sz w:val="22"/>
                <w:szCs w:val="22"/>
                <w:u w:val="single"/>
              </w:rPr>
            </w:pPr>
            <w:r w:rsidRPr="00743E5E">
              <w:rPr>
                <w:rFonts w:ascii="Calibri" w:hAnsi="Calibri"/>
                <w:color w:val="000000"/>
                <w:sz w:val="22"/>
                <w:szCs w:val="22"/>
                <w:u w:val="single"/>
              </w:rPr>
              <w:t>Balance</w:t>
            </w:r>
          </w:p>
        </w:tc>
      </w:tr>
      <w:tr w:rsidR="00DA0285" w:rsidRPr="00743E5E" w:rsidTr="007A5197">
        <w:trPr>
          <w:trHeight w:val="300"/>
        </w:trPr>
        <w:tc>
          <w:tcPr>
            <w:tcW w:w="2310" w:type="dxa"/>
            <w:gridSpan w:val="2"/>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 xml:space="preserve">   Insurance</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2,600</w:t>
            </w: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53" w:type="dxa"/>
            <w:gridSpan w:val="2"/>
            <w:tcBorders>
              <w:top w:val="nil"/>
              <w:left w:val="nil"/>
              <w:bottom w:val="nil"/>
              <w:right w:val="nil"/>
            </w:tcBorders>
            <w:shd w:val="clear" w:color="auto" w:fill="auto"/>
            <w:noWrap/>
            <w:vAlign w:val="center"/>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4,622.00</w:t>
            </w: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-2,022.00</w:t>
            </w:r>
          </w:p>
        </w:tc>
      </w:tr>
      <w:tr w:rsidR="00DA0285" w:rsidRPr="00743E5E" w:rsidTr="007A5197">
        <w:trPr>
          <w:trHeight w:val="300"/>
        </w:trPr>
        <w:tc>
          <w:tcPr>
            <w:tcW w:w="2310" w:type="dxa"/>
            <w:gridSpan w:val="2"/>
            <w:tcBorders>
              <w:top w:val="nil"/>
              <w:left w:val="nil"/>
              <w:bottom w:val="nil"/>
              <w:right w:val="nil"/>
            </w:tcBorders>
            <w:shd w:val="clear" w:color="auto" w:fill="auto"/>
            <w:noWrap/>
            <w:vAlign w:val="center"/>
            <w:hideMark/>
          </w:tcPr>
          <w:p w:rsidR="00DA0285" w:rsidRPr="00743E5E" w:rsidRDefault="00DA0285" w:rsidP="000829DB">
            <w:pPr>
              <w:rPr>
                <w:rFonts w:ascii="Calibri" w:hAnsi="Calibri"/>
                <w:color w:val="000000"/>
                <w:sz w:val="22"/>
                <w:szCs w:val="22"/>
              </w:rPr>
            </w:pPr>
            <w:r w:rsidRPr="00743E5E">
              <w:rPr>
                <w:rFonts w:ascii="Calibri" w:hAnsi="Calibri"/>
                <w:color w:val="000000"/>
                <w:sz w:val="22"/>
                <w:szCs w:val="22"/>
              </w:rPr>
              <w:t xml:space="preserve">   AWB</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22,153</w:t>
            </w: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53" w:type="dxa"/>
            <w:gridSpan w:val="2"/>
            <w:tcBorders>
              <w:top w:val="nil"/>
              <w:left w:val="nil"/>
              <w:bottom w:val="nil"/>
              <w:right w:val="nil"/>
            </w:tcBorders>
            <w:shd w:val="clear" w:color="auto" w:fill="auto"/>
            <w:noWrap/>
            <w:vAlign w:val="center"/>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19,120.00</w:t>
            </w: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3,033.00</w:t>
            </w:r>
          </w:p>
        </w:tc>
      </w:tr>
      <w:tr w:rsidR="00DA0285" w:rsidRPr="00743E5E" w:rsidTr="007A5197">
        <w:trPr>
          <w:trHeight w:val="300"/>
        </w:trPr>
        <w:tc>
          <w:tcPr>
            <w:tcW w:w="2310" w:type="dxa"/>
            <w:gridSpan w:val="2"/>
            <w:tcBorders>
              <w:top w:val="nil"/>
              <w:left w:val="nil"/>
              <w:bottom w:val="nil"/>
              <w:right w:val="nil"/>
            </w:tcBorders>
            <w:shd w:val="clear" w:color="auto" w:fill="auto"/>
            <w:noWrap/>
            <w:vAlign w:val="center"/>
            <w:hideMark/>
          </w:tcPr>
          <w:p w:rsidR="00DA0285" w:rsidRPr="00743E5E" w:rsidRDefault="00DA0285" w:rsidP="000829DB">
            <w:pPr>
              <w:ind w:firstLineChars="100" w:firstLine="220"/>
              <w:rPr>
                <w:rFonts w:ascii="Calibri" w:hAnsi="Calibri"/>
                <w:color w:val="000000"/>
                <w:sz w:val="22"/>
                <w:szCs w:val="22"/>
              </w:rPr>
            </w:pPr>
            <w:r w:rsidRPr="00743E5E">
              <w:rPr>
                <w:rFonts w:ascii="Calibri" w:hAnsi="Calibri"/>
                <w:color w:val="000000"/>
                <w:sz w:val="22"/>
                <w:szCs w:val="22"/>
              </w:rPr>
              <w:t>Projects</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19,717</w:t>
            </w: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53" w:type="dxa"/>
            <w:gridSpan w:val="2"/>
            <w:tcBorders>
              <w:top w:val="nil"/>
              <w:left w:val="nil"/>
              <w:bottom w:val="nil"/>
              <w:right w:val="nil"/>
            </w:tcBorders>
            <w:shd w:val="clear" w:color="auto" w:fill="auto"/>
            <w:noWrap/>
            <w:vAlign w:val="center"/>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1,939.45</w:t>
            </w: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17,777.55</w:t>
            </w:r>
          </w:p>
        </w:tc>
      </w:tr>
      <w:tr w:rsidR="00DA0285" w:rsidRPr="00743E5E" w:rsidTr="007A5197">
        <w:trPr>
          <w:trHeight w:val="300"/>
        </w:trPr>
        <w:tc>
          <w:tcPr>
            <w:tcW w:w="2310" w:type="dxa"/>
            <w:gridSpan w:val="2"/>
            <w:tcBorders>
              <w:top w:val="nil"/>
              <w:left w:val="nil"/>
              <w:bottom w:val="nil"/>
              <w:right w:val="nil"/>
            </w:tcBorders>
            <w:shd w:val="clear" w:color="auto" w:fill="auto"/>
            <w:noWrap/>
            <w:vAlign w:val="center"/>
            <w:hideMark/>
          </w:tcPr>
          <w:p w:rsidR="00DA0285" w:rsidRPr="00743E5E" w:rsidRDefault="00DA0285" w:rsidP="000829DB">
            <w:pPr>
              <w:ind w:firstLineChars="100" w:firstLine="220"/>
              <w:rPr>
                <w:rFonts w:ascii="Calibri" w:hAnsi="Calibri"/>
                <w:color w:val="000000"/>
                <w:sz w:val="22"/>
                <w:szCs w:val="22"/>
              </w:rPr>
            </w:pPr>
            <w:r w:rsidRPr="00743E5E">
              <w:rPr>
                <w:rFonts w:ascii="Calibri" w:hAnsi="Calibri"/>
                <w:color w:val="000000"/>
                <w:sz w:val="22"/>
                <w:szCs w:val="22"/>
              </w:rPr>
              <w:t>Administration</w:t>
            </w:r>
          </w:p>
        </w:tc>
        <w:tc>
          <w:tcPr>
            <w:tcW w:w="1486"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7,500</w:t>
            </w: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853" w:type="dxa"/>
            <w:gridSpan w:val="2"/>
            <w:tcBorders>
              <w:top w:val="nil"/>
              <w:left w:val="nil"/>
              <w:bottom w:val="nil"/>
              <w:right w:val="nil"/>
            </w:tcBorders>
            <w:shd w:val="clear" w:color="auto" w:fill="auto"/>
            <w:noWrap/>
            <w:vAlign w:val="center"/>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3,562.00</w:t>
            </w:r>
          </w:p>
        </w:tc>
        <w:tc>
          <w:tcPr>
            <w:tcW w:w="1107" w:type="dxa"/>
            <w:tcBorders>
              <w:top w:val="nil"/>
              <w:left w:val="nil"/>
              <w:bottom w:val="nil"/>
              <w:right w:val="nil"/>
            </w:tcBorders>
            <w:shd w:val="clear" w:color="auto" w:fill="auto"/>
            <w:noWrap/>
            <w:vAlign w:val="center"/>
            <w:hideMark/>
          </w:tcPr>
          <w:p w:rsidR="00DA0285" w:rsidRPr="00743E5E" w:rsidRDefault="00DA0285" w:rsidP="000829DB">
            <w:pPr>
              <w:ind w:firstLineChars="100" w:firstLine="220"/>
              <w:rPr>
                <w:rFonts w:ascii="Calibri" w:hAnsi="Calibri"/>
                <w:color w:val="000000"/>
                <w:sz w:val="22"/>
                <w:szCs w:val="22"/>
                <w:u w:val="single"/>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color w:val="000000"/>
                <w:sz w:val="22"/>
                <w:szCs w:val="22"/>
              </w:rPr>
            </w:pPr>
            <w:r w:rsidRPr="00743E5E">
              <w:rPr>
                <w:rFonts w:ascii="Calibri" w:hAnsi="Calibri"/>
                <w:color w:val="000000"/>
                <w:sz w:val="22"/>
                <w:szCs w:val="22"/>
              </w:rPr>
              <w:t>3,938.00</w:t>
            </w:r>
          </w:p>
        </w:tc>
      </w:tr>
      <w:tr w:rsidR="00DA0285" w:rsidRPr="00743E5E" w:rsidTr="007A5197">
        <w:trPr>
          <w:trHeight w:val="300"/>
        </w:trPr>
        <w:tc>
          <w:tcPr>
            <w:tcW w:w="531"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779"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color w:val="000000"/>
                <w:sz w:val="22"/>
                <w:szCs w:val="22"/>
              </w:rPr>
            </w:pPr>
          </w:p>
        </w:tc>
        <w:tc>
          <w:tcPr>
            <w:tcW w:w="1486"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b/>
                <w:bCs/>
                <w:color w:val="000000"/>
                <w:sz w:val="22"/>
                <w:szCs w:val="22"/>
              </w:rPr>
            </w:pPr>
            <w:r w:rsidRPr="00743E5E">
              <w:rPr>
                <w:rFonts w:ascii="Calibri" w:hAnsi="Calibri"/>
                <w:b/>
                <w:bCs/>
                <w:color w:val="000000"/>
                <w:sz w:val="22"/>
                <w:szCs w:val="22"/>
              </w:rPr>
              <w:t>51,970</w:t>
            </w:r>
          </w:p>
        </w:tc>
        <w:tc>
          <w:tcPr>
            <w:tcW w:w="1608"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b/>
                <w:bCs/>
                <w:color w:val="000000"/>
                <w:sz w:val="22"/>
                <w:szCs w:val="22"/>
              </w:rPr>
            </w:pPr>
          </w:p>
        </w:tc>
        <w:tc>
          <w:tcPr>
            <w:tcW w:w="1853" w:type="dxa"/>
            <w:gridSpan w:val="2"/>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b/>
                <w:bCs/>
                <w:color w:val="000000"/>
                <w:sz w:val="22"/>
                <w:szCs w:val="22"/>
              </w:rPr>
            </w:pPr>
            <w:r w:rsidRPr="00743E5E">
              <w:rPr>
                <w:rFonts w:ascii="Calibri" w:hAnsi="Calibri"/>
                <w:b/>
                <w:bCs/>
                <w:color w:val="000000"/>
                <w:sz w:val="22"/>
                <w:szCs w:val="22"/>
              </w:rPr>
              <w:t>29,243.45</w:t>
            </w:r>
          </w:p>
        </w:tc>
        <w:tc>
          <w:tcPr>
            <w:tcW w:w="1107" w:type="dxa"/>
            <w:tcBorders>
              <w:top w:val="nil"/>
              <w:left w:val="nil"/>
              <w:bottom w:val="nil"/>
              <w:right w:val="nil"/>
            </w:tcBorders>
            <w:shd w:val="clear" w:color="auto" w:fill="auto"/>
            <w:noWrap/>
            <w:vAlign w:val="bottom"/>
            <w:hideMark/>
          </w:tcPr>
          <w:p w:rsidR="00DA0285" w:rsidRPr="00743E5E" w:rsidRDefault="00DA0285" w:rsidP="000829DB">
            <w:pPr>
              <w:rPr>
                <w:rFonts w:ascii="Calibri" w:hAnsi="Calibri"/>
                <w:b/>
                <w:bCs/>
                <w:color w:val="000000"/>
                <w:sz w:val="22"/>
                <w:szCs w:val="22"/>
              </w:rPr>
            </w:pPr>
          </w:p>
        </w:tc>
        <w:tc>
          <w:tcPr>
            <w:tcW w:w="1482" w:type="dxa"/>
            <w:tcBorders>
              <w:top w:val="nil"/>
              <w:left w:val="nil"/>
              <w:bottom w:val="nil"/>
              <w:right w:val="nil"/>
            </w:tcBorders>
            <w:shd w:val="clear" w:color="auto" w:fill="auto"/>
            <w:noWrap/>
            <w:vAlign w:val="bottom"/>
            <w:hideMark/>
          </w:tcPr>
          <w:p w:rsidR="00DA0285" w:rsidRPr="00743E5E" w:rsidRDefault="00DA0285" w:rsidP="000829DB">
            <w:pPr>
              <w:jc w:val="right"/>
              <w:rPr>
                <w:rFonts w:ascii="Calibri" w:hAnsi="Calibri"/>
                <w:b/>
                <w:bCs/>
                <w:color w:val="000000"/>
                <w:sz w:val="22"/>
                <w:szCs w:val="22"/>
              </w:rPr>
            </w:pPr>
            <w:r w:rsidRPr="00743E5E">
              <w:rPr>
                <w:rFonts w:ascii="Calibri" w:hAnsi="Calibri"/>
                <w:b/>
                <w:bCs/>
                <w:color w:val="000000"/>
                <w:sz w:val="22"/>
                <w:szCs w:val="22"/>
              </w:rPr>
              <w:t>22,726.55</w:t>
            </w:r>
          </w:p>
        </w:tc>
      </w:tr>
    </w:tbl>
    <w:p w:rsidR="007A5197" w:rsidRDefault="007A5197" w:rsidP="00532F8F">
      <w:pPr>
        <w:rPr>
          <w:sz w:val="22"/>
          <w:szCs w:val="22"/>
        </w:rPr>
      </w:pPr>
    </w:p>
    <w:p w:rsidR="00532F8F" w:rsidRPr="00D07C15" w:rsidRDefault="007A5197" w:rsidP="00532F8F">
      <w:pPr>
        <w:rPr>
          <w:sz w:val="16"/>
          <w:szCs w:val="16"/>
        </w:rPr>
      </w:pPr>
      <w:r>
        <w:rPr>
          <w:sz w:val="22"/>
          <w:szCs w:val="22"/>
        </w:rPr>
        <w:t>Jeff</w:t>
      </w:r>
      <w:r w:rsidR="00532F8F" w:rsidRPr="00D07C15">
        <w:rPr>
          <w:sz w:val="22"/>
          <w:szCs w:val="22"/>
        </w:rPr>
        <w:t xml:space="preserve"> moved to approve the Consent Agenda,</w:t>
      </w:r>
      <w:r>
        <w:rPr>
          <w:sz w:val="22"/>
          <w:szCs w:val="22"/>
        </w:rPr>
        <w:t xml:space="preserve"> Landon</w:t>
      </w:r>
      <w:r w:rsidR="00532F8F" w:rsidRPr="00D07C15">
        <w:rPr>
          <w:sz w:val="22"/>
          <w:szCs w:val="22"/>
        </w:rPr>
        <w:t xml:space="preserve"> seconded, motion carried unanimously.   </w:t>
      </w:r>
    </w:p>
    <w:p w:rsidR="00DA0285" w:rsidRPr="006D1F5A" w:rsidRDefault="00DA0285" w:rsidP="00DA0285">
      <w:pPr>
        <w:rPr>
          <w:color w:val="FF0000"/>
          <w:sz w:val="16"/>
          <w:szCs w:val="16"/>
        </w:rPr>
      </w:pPr>
    </w:p>
    <w:p w:rsidR="00DA0285" w:rsidRPr="00FD4EE6" w:rsidRDefault="00DA0285" w:rsidP="00DA0285">
      <w:pPr>
        <w:rPr>
          <w:b/>
          <w:bCs/>
          <w:sz w:val="28"/>
          <w:szCs w:val="28"/>
        </w:rPr>
      </w:pPr>
      <w:r>
        <w:rPr>
          <w:b/>
          <w:bCs/>
          <w:sz w:val="28"/>
          <w:szCs w:val="28"/>
        </w:rPr>
        <w:t>II.</w:t>
      </w:r>
      <w:r>
        <w:rPr>
          <w:b/>
          <w:bCs/>
          <w:sz w:val="28"/>
          <w:szCs w:val="28"/>
        </w:rPr>
        <w:tab/>
        <w:t>Old Business</w:t>
      </w:r>
      <w:r w:rsidRPr="008E6D85">
        <w:rPr>
          <w:sz w:val="22"/>
          <w:szCs w:val="22"/>
        </w:rPr>
        <w:t xml:space="preserve"> </w:t>
      </w:r>
    </w:p>
    <w:p w:rsidR="00DA0285" w:rsidRDefault="00DA0285" w:rsidP="00DA0285">
      <w:pPr>
        <w:pStyle w:val="ListParagraph"/>
        <w:numPr>
          <w:ilvl w:val="0"/>
          <w:numId w:val="24"/>
        </w:numPr>
        <w:ind w:left="1350"/>
        <w:rPr>
          <w:sz w:val="22"/>
          <w:szCs w:val="22"/>
          <w:u w:val="single"/>
        </w:rPr>
      </w:pPr>
      <w:r w:rsidRPr="001222EA">
        <w:rPr>
          <w:sz w:val="22"/>
          <w:szCs w:val="22"/>
          <w:u w:val="single"/>
        </w:rPr>
        <w:t>Administrative</w:t>
      </w:r>
    </w:p>
    <w:p w:rsidR="00DA0285" w:rsidRPr="007A5197" w:rsidRDefault="00DA0285" w:rsidP="00DA0285">
      <w:pPr>
        <w:pStyle w:val="ListParagraph"/>
        <w:numPr>
          <w:ilvl w:val="1"/>
          <w:numId w:val="24"/>
        </w:numPr>
        <w:rPr>
          <w:sz w:val="10"/>
          <w:szCs w:val="10"/>
          <w:u w:val="single"/>
        </w:rPr>
      </w:pPr>
      <w:r w:rsidRPr="007A5197">
        <w:rPr>
          <w:sz w:val="22"/>
          <w:szCs w:val="22"/>
        </w:rPr>
        <w:t>Annexations</w:t>
      </w:r>
      <w:r w:rsidR="007A5197" w:rsidRPr="007A5197">
        <w:rPr>
          <w:sz w:val="22"/>
          <w:szCs w:val="22"/>
        </w:rPr>
        <w:t xml:space="preserve"> – Glen  Dykstra was added, the </w:t>
      </w:r>
      <w:proofErr w:type="spellStart"/>
      <w:r w:rsidR="007A5197" w:rsidRPr="007A5197">
        <w:rPr>
          <w:sz w:val="22"/>
          <w:szCs w:val="22"/>
        </w:rPr>
        <w:t>Fekkes</w:t>
      </w:r>
      <w:proofErr w:type="spellEnd"/>
      <w:r w:rsidR="007A5197" w:rsidRPr="007A5197">
        <w:rPr>
          <w:sz w:val="22"/>
          <w:szCs w:val="22"/>
        </w:rPr>
        <w:t xml:space="preserve"> parcels were not as it was not clear which ones they still owned.   Harry Williams and Jeff Rainey are on the agenda for inclusion in 2017.    </w:t>
      </w:r>
    </w:p>
    <w:p w:rsidR="00DA0285" w:rsidRPr="00095D47" w:rsidRDefault="00DA0285" w:rsidP="00DA0285">
      <w:pPr>
        <w:rPr>
          <w:sz w:val="10"/>
          <w:szCs w:val="10"/>
          <w:u w:val="single"/>
        </w:rPr>
      </w:pPr>
    </w:p>
    <w:p w:rsidR="00532F8F" w:rsidRPr="006C457F" w:rsidRDefault="00532F8F" w:rsidP="00532F8F">
      <w:pPr>
        <w:pStyle w:val="ListParagraph"/>
        <w:numPr>
          <w:ilvl w:val="0"/>
          <w:numId w:val="24"/>
        </w:numPr>
        <w:ind w:left="1350"/>
        <w:rPr>
          <w:sz w:val="22"/>
          <w:szCs w:val="22"/>
        </w:rPr>
      </w:pPr>
      <w:r>
        <w:rPr>
          <w:bCs/>
          <w:sz w:val="22"/>
          <w:szCs w:val="22"/>
          <w:u w:val="single"/>
        </w:rPr>
        <w:t>Ag Water Board report</w:t>
      </w:r>
    </w:p>
    <w:p w:rsidR="00532F8F" w:rsidRDefault="00532F8F" w:rsidP="00532F8F">
      <w:pPr>
        <w:pStyle w:val="ListParagraph"/>
        <w:numPr>
          <w:ilvl w:val="0"/>
          <w:numId w:val="46"/>
        </w:numPr>
        <w:tabs>
          <w:tab w:val="left" w:pos="1170"/>
        </w:tabs>
        <w:ind w:hanging="270"/>
        <w:rPr>
          <w:bCs/>
          <w:sz w:val="22"/>
          <w:szCs w:val="22"/>
        </w:rPr>
      </w:pPr>
      <w:r w:rsidRPr="00AD6250">
        <w:rPr>
          <w:bCs/>
          <w:sz w:val="22"/>
          <w:szCs w:val="22"/>
        </w:rPr>
        <w:t>Legal</w:t>
      </w:r>
    </w:p>
    <w:p w:rsidR="00532F8F" w:rsidRDefault="00532F8F" w:rsidP="00532F8F">
      <w:pPr>
        <w:pStyle w:val="ListParagraph"/>
        <w:numPr>
          <w:ilvl w:val="1"/>
          <w:numId w:val="46"/>
        </w:numPr>
        <w:tabs>
          <w:tab w:val="left" w:pos="1170"/>
        </w:tabs>
        <w:rPr>
          <w:bCs/>
          <w:sz w:val="22"/>
          <w:szCs w:val="22"/>
        </w:rPr>
      </w:pPr>
      <w:r>
        <w:rPr>
          <w:bCs/>
          <w:sz w:val="22"/>
          <w:szCs w:val="22"/>
        </w:rPr>
        <w:t xml:space="preserve">Legal Defense Team report – several lawyers have been interviewed and are in discussion with the AWB and WFF.  The purpose is to examine where legal risks lie and to prepare a common set of arguments in defense of farming that </w:t>
      </w:r>
      <w:r>
        <w:rPr>
          <w:bCs/>
          <w:sz w:val="22"/>
          <w:szCs w:val="22"/>
        </w:rPr>
        <w:lastRenderedPageBreak/>
        <w:t xml:space="preserve">farms, and their legal teams, could use in potential lawsuits against WID member farms.    </w:t>
      </w:r>
    </w:p>
    <w:p w:rsidR="00532F8F" w:rsidRDefault="00532F8F" w:rsidP="00532F8F">
      <w:pPr>
        <w:pStyle w:val="ListParagraph"/>
        <w:numPr>
          <w:ilvl w:val="1"/>
          <w:numId w:val="46"/>
        </w:numPr>
        <w:tabs>
          <w:tab w:val="left" w:pos="1170"/>
        </w:tabs>
        <w:rPr>
          <w:bCs/>
          <w:sz w:val="22"/>
          <w:szCs w:val="22"/>
        </w:rPr>
      </w:pPr>
      <w:r>
        <w:rPr>
          <w:bCs/>
          <w:sz w:val="22"/>
          <w:szCs w:val="22"/>
        </w:rPr>
        <w:t>Lummi Settlement Update – The AWB will be meeting with Lummi January 7</w:t>
      </w:r>
      <w:r w:rsidRPr="00DE724B">
        <w:rPr>
          <w:bCs/>
          <w:sz w:val="22"/>
          <w:szCs w:val="22"/>
          <w:vertAlign w:val="superscript"/>
        </w:rPr>
        <w:t>th</w:t>
      </w:r>
      <w:r>
        <w:rPr>
          <w:bCs/>
          <w:sz w:val="22"/>
          <w:szCs w:val="22"/>
        </w:rPr>
        <w:t xml:space="preserve"> to further discuss short term and long term agreements.    It was noted that under RECA suits compensation does not go to the affected parties (shellfish harvesters) but to the federal govt.    </w:t>
      </w:r>
    </w:p>
    <w:p w:rsidR="004343B8" w:rsidRPr="004343B8" w:rsidRDefault="00532F8F" w:rsidP="004343B8">
      <w:pPr>
        <w:pStyle w:val="ListParagraph"/>
        <w:numPr>
          <w:ilvl w:val="0"/>
          <w:numId w:val="46"/>
        </w:numPr>
        <w:tabs>
          <w:tab w:val="left" w:pos="1170"/>
        </w:tabs>
        <w:ind w:hanging="270"/>
        <w:rPr>
          <w:bCs/>
          <w:sz w:val="22"/>
          <w:szCs w:val="22"/>
        </w:rPr>
      </w:pPr>
      <w:r>
        <w:rPr>
          <w:bCs/>
          <w:sz w:val="22"/>
          <w:szCs w:val="22"/>
        </w:rPr>
        <w:t xml:space="preserve">Media Relations – a positive, careful, simple and fact filled message is what is needed.   There is a need for the WIDs to show positive results of their activities to back up this message.   Efforts like the LWID water quality monitoring partnership with the Ten Mile group, the NLWID monitoring,  and the follow-up being done are just such actions.   </w:t>
      </w:r>
      <w:r w:rsidR="004343B8">
        <w:rPr>
          <w:bCs/>
          <w:sz w:val="22"/>
          <w:szCs w:val="22"/>
        </w:rPr>
        <w:t xml:space="preserve">The board noted that the media efforts attacking farmers on sites like </w:t>
      </w:r>
      <w:hyperlink r:id="rId6" w:history="1">
        <w:r w:rsidR="004343B8" w:rsidRPr="00DC76F6">
          <w:rPr>
            <w:rStyle w:val="Hyperlink"/>
            <w:bCs/>
            <w:sz w:val="22"/>
            <w:szCs w:val="22"/>
          </w:rPr>
          <w:t>www.whatsupstream.org</w:t>
        </w:r>
      </w:hyperlink>
      <w:r w:rsidR="004343B8">
        <w:rPr>
          <w:bCs/>
          <w:sz w:val="22"/>
          <w:szCs w:val="22"/>
        </w:rPr>
        <w:t xml:space="preserve">  necessitate constant communication of the facts.   </w:t>
      </w:r>
    </w:p>
    <w:p w:rsidR="00532F8F" w:rsidRDefault="00532F8F" w:rsidP="00532F8F">
      <w:pPr>
        <w:pStyle w:val="ListParagraph"/>
        <w:numPr>
          <w:ilvl w:val="0"/>
          <w:numId w:val="46"/>
        </w:numPr>
        <w:tabs>
          <w:tab w:val="left" w:pos="1170"/>
        </w:tabs>
        <w:ind w:hanging="270"/>
        <w:rPr>
          <w:bCs/>
          <w:sz w:val="22"/>
          <w:szCs w:val="22"/>
        </w:rPr>
      </w:pPr>
      <w:r>
        <w:rPr>
          <w:bCs/>
          <w:sz w:val="22"/>
          <w:szCs w:val="22"/>
        </w:rPr>
        <w:t xml:space="preserve">Financial – a review of AWB finances was conducted.   </w:t>
      </w:r>
    </w:p>
    <w:tbl>
      <w:tblPr>
        <w:tblW w:w="11121" w:type="dxa"/>
        <w:tblInd w:w="-863" w:type="dxa"/>
        <w:tblLook w:val="04A0" w:firstRow="1" w:lastRow="0" w:firstColumn="1" w:lastColumn="0" w:noHBand="0" w:noVBand="1"/>
      </w:tblPr>
      <w:tblGrid>
        <w:gridCol w:w="1250"/>
        <w:gridCol w:w="891"/>
        <w:gridCol w:w="960"/>
        <w:gridCol w:w="1048"/>
        <w:gridCol w:w="960"/>
        <w:gridCol w:w="1048"/>
        <w:gridCol w:w="1204"/>
        <w:gridCol w:w="1060"/>
        <w:gridCol w:w="1040"/>
        <w:gridCol w:w="1040"/>
        <w:gridCol w:w="620"/>
      </w:tblGrid>
      <w:tr w:rsidR="00532F8F" w:rsidRPr="00F31E57" w:rsidTr="001D31AB">
        <w:trPr>
          <w:trHeight w:val="297"/>
        </w:trPr>
        <w:tc>
          <w:tcPr>
            <w:tcW w:w="125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WID</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Insurance</w:t>
            </w:r>
          </w:p>
        </w:tc>
        <w:tc>
          <w:tcPr>
            <w:tcW w:w="1048" w:type="dxa"/>
            <w:tcBorders>
              <w:top w:val="nil"/>
              <w:left w:val="nil"/>
              <w:bottom w:val="nil"/>
              <w:right w:val="nil"/>
            </w:tcBorders>
            <w:shd w:val="clear" w:color="auto" w:fill="auto"/>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Adm/W. Qt.</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Legal</w:t>
            </w:r>
          </w:p>
        </w:tc>
        <w:tc>
          <w:tcPr>
            <w:tcW w:w="1048" w:type="dxa"/>
            <w:tcBorders>
              <w:top w:val="nil"/>
              <w:left w:val="nil"/>
              <w:bottom w:val="nil"/>
              <w:right w:val="nil"/>
            </w:tcBorders>
            <w:shd w:val="clear" w:color="auto" w:fill="auto"/>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W. Qual/Dr.</w:t>
            </w:r>
          </w:p>
        </w:tc>
        <w:tc>
          <w:tcPr>
            <w:tcW w:w="1204" w:type="dxa"/>
            <w:tcBorders>
              <w:top w:val="nil"/>
              <w:left w:val="nil"/>
              <w:bottom w:val="nil"/>
              <w:right w:val="nil"/>
            </w:tcBorders>
            <w:shd w:val="clear" w:color="auto" w:fill="auto"/>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Public Affairs</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TOTAL</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Expended</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Balance</w:t>
            </w:r>
          </w:p>
        </w:tc>
        <w:tc>
          <w:tcPr>
            <w:tcW w:w="62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w:t>
            </w: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r w:rsidRPr="00F31E57">
              <w:rPr>
                <w:rFonts w:asciiTheme="minorHAnsi" w:hAnsiTheme="minorHAnsi"/>
                <w:color w:val="000000"/>
                <w:sz w:val="16"/>
                <w:szCs w:val="16"/>
              </w:rPr>
              <w:t>Bertrand</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color w:val="000000"/>
                <w:sz w:val="16"/>
                <w:szCs w:val="16"/>
              </w:rPr>
            </w:pPr>
            <w:r w:rsidRPr="00F31E57">
              <w:rPr>
                <w:rFonts w:asciiTheme="minorHAnsi" w:hAnsiTheme="minorHAnsi"/>
                <w:color w:val="000000"/>
                <w:sz w:val="16"/>
                <w:szCs w:val="16"/>
              </w:rPr>
              <w:t>24%</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$876</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$3,600</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$6,480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$3,802</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$10,560</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25,318</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$23,000.23</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$2,317.37</w:t>
            </w:r>
          </w:p>
        </w:tc>
        <w:tc>
          <w:tcPr>
            <w:tcW w:w="62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90.8%</w:t>
            </w: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r w:rsidRPr="00F31E57">
              <w:rPr>
                <w:rFonts w:asciiTheme="minorHAnsi" w:hAnsiTheme="minorHAnsi"/>
                <w:color w:val="000000"/>
                <w:sz w:val="16"/>
                <w:szCs w:val="16"/>
              </w:rPr>
              <w:t>South Lynden</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color w:val="000000"/>
                <w:sz w:val="16"/>
                <w:szCs w:val="16"/>
              </w:rPr>
            </w:pPr>
            <w:r w:rsidRPr="00F31E57">
              <w:rPr>
                <w:rFonts w:asciiTheme="minorHAnsi" w:hAnsiTheme="minorHAnsi"/>
                <w:color w:val="000000"/>
                <w:sz w:val="16"/>
                <w:szCs w:val="16"/>
              </w:rPr>
              <w:t>21%</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$767</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$3,150</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$5,670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$3,326</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$9,240</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22,153</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$19,120.00</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$3,032.90</w:t>
            </w:r>
          </w:p>
        </w:tc>
        <w:tc>
          <w:tcPr>
            <w:tcW w:w="62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86.3%</w:t>
            </w: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r w:rsidRPr="00F31E57">
              <w:rPr>
                <w:rFonts w:asciiTheme="minorHAnsi" w:hAnsiTheme="minorHAnsi"/>
                <w:color w:val="000000"/>
                <w:sz w:val="16"/>
                <w:szCs w:val="16"/>
              </w:rPr>
              <w:t>Drayton</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color w:val="000000"/>
                <w:sz w:val="16"/>
                <w:szCs w:val="16"/>
              </w:rPr>
            </w:pPr>
            <w:r w:rsidRPr="00F31E57">
              <w:rPr>
                <w:rFonts w:asciiTheme="minorHAnsi" w:hAnsiTheme="minorHAnsi"/>
                <w:color w:val="000000"/>
                <w:sz w:val="16"/>
                <w:szCs w:val="16"/>
              </w:rPr>
              <w:t>11%</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$402</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$1,650</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$2,970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$1,742</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$4,840</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11,604</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$9,120.00</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$2,483.90</w:t>
            </w:r>
          </w:p>
        </w:tc>
        <w:tc>
          <w:tcPr>
            <w:tcW w:w="62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78.6%</w:t>
            </w: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r w:rsidRPr="00F31E57">
              <w:rPr>
                <w:rFonts w:asciiTheme="minorHAnsi" w:hAnsiTheme="minorHAnsi"/>
                <w:color w:val="000000"/>
                <w:sz w:val="16"/>
                <w:szCs w:val="16"/>
              </w:rPr>
              <w:t>Laurel</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color w:val="000000"/>
                <w:sz w:val="16"/>
                <w:szCs w:val="16"/>
              </w:rPr>
            </w:pPr>
            <w:r w:rsidRPr="00F31E57">
              <w:rPr>
                <w:rFonts w:asciiTheme="minorHAnsi" w:hAnsiTheme="minorHAnsi"/>
                <w:color w:val="000000"/>
                <w:sz w:val="16"/>
                <w:szCs w:val="16"/>
              </w:rPr>
              <w:t>13%</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$475</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$1,950</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$3,510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$2,059</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$5,720</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13,714</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$12,276.94</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$1,436.76</w:t>
            </w:r>
          </w:p>
        </w:tc>
        <w:tc>
          <w:tcPr>
            <w:tcW w:w="62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89.5%</w:t>
            </w: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r w:rsidRPr="00F31E57">
              <w:rPr>
                <w:rFonts w:asciiTheme="minorHAnsi" w:hAnsiTheme="minorHAnsi"/>
                <w:color w:val="000000"/>
                <w:sz w:val="16"/>
                <w:szCs w:val="16"/>
              </w:rPr>
              <w:t>Sumas</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color w:val="000000"/>
                <w:sz w:val="16"/>
                <w:szCs w:val="16"/>
              </w:rPr>
            </w:pPr>
            <w:r w:rsidRPr="00F31E57">
              <w:rPr>
                <w:rFonts w:asciiTheme="minorHAnsi" w:hAnsiTheme="minorHAnsi"/>
                <w:color w:val="000000"/>
                <w:sz w:val="16"/>
                <w:szCs w:val="16"/>
              </w:rPr>
              <w:t>31%</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$1,132</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$4,650</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$8,370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$4,910</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$13,640</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32,702</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$23,748.88</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$8,953.02</w:t>
            </w:r>
          </w:p>
        </w:tc>
        <w:tc>
          <w:tcPr>
            <w:tcW w:w="62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72.6%</w:t>
            </w: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BUDGET</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3,650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15,000</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27,000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15,840</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44,000</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105,490</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$87,266.05</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$18,223.95</w:t>
            </w:r>
          </w:p>
        </w:tc>
        <w:tc>
          <w:tcPr>
            <w:tcW w:w="62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82.7%</w:t>
            </w: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SPENT</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color w:val="000000"/>
                <w:sz w:val="16"/>
                <w:szCs w:val="16"/>
              </w:rPr>
            </w:pPr>
            <w:r w:rsidRPr="00F31E57">
              <w:rPr>
                <w:rFonts w:asciiTheme="minorHAnsi" w:hAnsiTheme="minorHAnsi"/>
                <w:color w:val="000000"/>
                <w:sz w:val="16"/>
                <w:szCs w:val="16"/>
              </w:rPr>
              <w:t>711.96</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3,285.00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16,080.00</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21,639.71</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12,320.00</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33,229.38</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87,266.05</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62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REMAINING</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365.00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-1,080.00</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5,360.29</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3,520.00</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10,770.62</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18,223.95</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62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8"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8"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204"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62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WID</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May-15</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June-15</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July-15</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Aug-15</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Sep-15</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Oct-15</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Nov-15</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b/>
                <w:bCs/>
                <w:color w:val="000000"/>
                <w:sz w:val="16"/>
                <w:szCs w:val="16"/>
                <w:u w:val="single"/>
              </w:rPr>
            </w:pPr>
            <w:r w:rsidRPr="00F31E57">
              <w:rPr>
                <w:rFonts w:asciiTheme="minorHAnsi" w:hAnsiTheme="minorHAnsi"/>
                <w:b/>
                <w:bCs/>
                <w:color w:val="000000"/>
                <w:sz w:val="16"/>
                <w:szCs w:val="16"/>
                <w:u w:val="single"/>
              </w:rPr>
              <w:t>Dec-15</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p>
        </w:tc>
        <w:tc>
          <w:tcPr>
            <w:tcW w:w="62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r w:rsidRPr="00F31E57">
              <w:rPr>
                <w:rFonts w:asciiTheme="minorHAnsi" w:hAnsiTheme="minorHAnsi"/>
                <w:color w:val="000000"/>
                <w:sz w:val="16"/>
                <w:szCs w:val="16"/>
              </w:rPr>
              <w:t>Bertrand</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cente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$16,680.23</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8"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204"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$1,560.00</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$4,760.00</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62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r w:rsidRPr="00F31E57">
              <w:rPr>
                <w:rFonts w:asciiTheme="minorHAnsi" w:hAnsiTheme="minorHAnsi"/>
                <w:color w:val="000000"/>
                <w:sz w:val="16"/>
                <w:szCs w:val="16"/>
              </w:rPr>
              <w:t>South Lynden</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$3,000.00</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8"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$6,360.00</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$4,760.00</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$5,000.00</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62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r w:rsidRPr="00F31E57">
              <w:rPr>
                <w:rFonts w:asciiTheme="minorHAnsi" w:hAnsiTheme="minorHAnsi"/>
                <w:color w:val="000000"/>
                <w:sz w:val="16"/>
                <w:szCs w:val="16"/>
              </w:rPr>
              <w:t>Drayton</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$3,120.00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$3,000.00</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$3,000.00</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62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r w:rsidRPr="00F31E57">
              <w:rPr>
                <w:rFonts w:asciiTheme="minorHAnsi" w:hAnsiTheme="minorHAnsi"/>
                <w:color w:val="000000"/>
                <w:sz w:val="16"/>
                <w:szCs w:val="16"/>
              </w:rPr>
              <w:t>Laurel</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$2,289.91</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$1,760.00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$5,885.00</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$2,342.03</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62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r w:rsidRPr="00F31E57">
              <w:rPr>
                <w:rFonts w:asciiTheme="minorHAnsi" w:hAnsiTheme="minorHAnsi"/>
                <w:color w:val="000000"/>
                <w:sz w:val="16"/>
                <w:szCs w:val="16"/>
              </w:rPr>
              <w:t>Sumas</w:t>
            </w: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$1,760.00</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$3,000.00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96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$10,766.53</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$5,302.35</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$1,760.00</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color w:val="000000"/>
                <w:sz w:val="16"/>
                <w:szCs w:val="16"/>
              </w:rPr>
            </w:pPr>
            <w:r w:rsidRPr="00F31E57">
              <w:rPr>
                <w:rFonts w:asciiTheme="minorHAnsi" w:hAnsiTheme="minorHAnsi"/>
                <w:color w:val="000000"/>
                <w:sz w:val="16"/>
                <w:szCs w:val="16"/>
              </w:rPr>
              <w:t>$1,160.00</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62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r>
      <w:tr w:rsidR="00532F8F" w:rsidRPr="00F31E57" w:rsidTr="001D31AB">
        <w:trPr>
          <w:trHeight w:val="300"/>
        </w:trPr>
        <w:tc>
          <w:tcPr>
            <w:tcW w:w="125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891"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$7,049.91</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$7,880.00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$16,680.23</w:t>
            </w:r>
          </w:p>
        </w:tc>
        <w:tc>
          <w:tcPr>
            <w:tcW w:w="9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$0.00</w:t>
            </w:r>
          </w:p>
        </w:tc>
        <w:tc>
          <w:tcPr>
            <w:tcW w:w="1048"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$26,011.53</w:t>
            </w:r>
          </w:p>
        </w:tc>
        <w:tc>
          <w:tcPr>
            <w:tcW w:w="1204"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$10,062.35</w:t>
            </w:r>
          </w:p>
        </w:tc>
        <w:tc>
          <w:tcPr>
            <w:tcW w:w="106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$6,320.00</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jc w:val="right"/>
              <w:rPr>
                <w:rFonts w:asciiTheme="minorHAnsi" w:hAnsiTheme="minorHAnsi"/>
                <w:b/>
                <w:bCs/>
                <w:color w:val="000000"/>
                <w:sz w:val="16"/>
                <w:szCs w:val="16"/>
              </w:rPr>
            </w:pPr>
            <w:r w:rsidRPr="00F31E57">
              <w:rPr>
                <w:rFonts w:asciiTheme="minorHAnsi" w:hAnsiTheme="minorHAnsi"/>
                <w:b/>
                <w:bCs/>
                <w:color w:val="000000"/>
                <w:sz w:val="16"/>
                <w:szCs w:val="16"/>
              </w:rPr>
              <w:t>$13,262.03</w:t>
            </w:r>
          </w:p>
        </w:tc>
        <w:tc>
          <w:tcPr>
            <w:tcW w:w="104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c>
          <w:tcPr>
            <w:tcW w:w="620" w:type="dxa"/>
            <w:tcBorders>
              <w:top w:val="nil"/>
              <w:left w:val="nil"/>
              <w:bottom w:val="nil"/>
              <w:right w:val="nil"/>
            </w:tcBorders>
            <w:shd w:val="clear" w:color="auto" w:fill="auto"/>
            <w:noWrap/>
            <w:vAlign w:val="bottom"/>
            <w:hideMark/>
          </w:tcPr>
          <w:p w:rsidR="00532F8F" w:rsidRPr="00F31E57" w:rsidRDefault="00532F8F" w:rsidP="001D31AB">
            <w:pPr>
              <w:rPr>
                <w:rFonts w:asciiTheme="minorHAnsi" w:hAnsiTheme="minorHAnsi"/>
                <w:color w:val="000000"/>
                <w:sz w:val="16"/>
                <w:szCs w:val="16"/>
              </w:rPr>
            </w:pPr>
          </w:p>
        </w:tc>
      </w:tr>
    </w:tbl>
    <w:p w:rsidR="00DA0285" w:rsidRPr="00E53767" w:rsidRDefault="00DA0285" w:rsidP="00DA0285">
      <w:pPr>
        <w:pStyle w:val="ListParagraph"/>
        <w:tabs>
          <w:tab w:val="left" w:pos="1170"/>
        </w:tabs>
        <w:ind w:left="2610"/>
        <w:rPr>
          <w:bCs/>
          <w:sz w:val="10"/>
          <w:szCs w:val="10"/>
        </w:rPr>
      </w:pPr>
    </w:p>
    <w:p w:rsidR="00DA0285" w:rsidRPr="00250F4B" w:rsidRDefault="00DA0285" w:rsidP="00DA0285">
      <w:pPr>
        <w:rPr>
          <w:b/>
          <w:bCs/>
          <w:sz w:val="28"/>
          <w:szCs w:val="28"/>
        </w:rPr>
      </w:pPr>
      <w:r>
        <w:rPr>
          <w:b/>
          <w:bCs/>
          <w:sz w:val="28"/>
          <w:szCs w:val="28"/>
        </w:rPr>
        <w:t>III.</w:t>
      </w:r>
      <w:r>
        <w:rPr>
          <w:b/>
          <w:bCs/>
          <w:sz w:val="28"/>
          <w:szCs w:val="28"/>
        </w:rPr>
        <w:tab/>
        <w:t>New Business</w:t>
      </w:r>
      <w:r w:rsidRPr="00A2740D">
        <w:rPr>
          <w:sz w:val="22"/>
          <w:szCs w:val="22"/>
        </w:rPr>
        <w:t xml:space="preserve"> </w:t>
      </w:r>
    </w:p>
    <w:p w:rsidR="00DA0285" w:rsidRPr="00D52AB5" w:rsidRDefault="00DA0285" w:rsidP="00DA0285">
      <w:pPr>
        <w:pStyle w:val="ListParagraph"/>
        <w:numPr>
          <w:ilvl w:val="0"/>
          <w:numId w:val="39"/>
        </w:numPr>
        <w:tabs>
          <w:tab w:val="left" w:pos="1170"/>
        </w:tabs>
        <w:rPr>
          <w:bCs/>
          <w:sz w:val="22"/>
          <w:szCs w:val="22"/>
          <w:u w:val="single"/>
        </w:rPr>
      </w:pPr>
      <w:r w:rsidRPr="009A4C72">
        <w:rPr>
          <w:bCs/>
          <w:sz w:val="22"/>
          <w:szCs w:val="22"/>
          <w:u w:val="single"/>
        </w:rPr>
        <w:t xml:space="preserve">Ditch </w:t>
      </w:r>
      <w:r>
        <w:rPr>
          <w:bCs/>
          <w:sz w:val="22"/>
          <w:szCs w:val="22"/>
          <w:u w:val="single"/>
        </w:rPr>
        <w:t xml:space="preserve">&amp; Dike </w:t>
      </w:r>
      <w:r w:rsidRPr="009A4C72">
        <w:rPr>
          <w:bCs/>
          <w:sz w:val="22"/>
          <w:szCs w:val="22"/>
          <w:u w:val="single"/>
        </w:rPr>
        <w:t>Maintenance</w:t>
      </w:r>
      <w:r w:rsidRPr="009A4C72">
        <w:rPr>
          <w:bCs/>
          <w:sz w:val="22"/>
          <w:szCs w:val="22"/>
        </w:rPr>
        <w:t xml:space="preserve"> </w:t>
      </w:r>
    </w:p>
    <w:p w:rsidR="00DA0285" w:rsidRDefault="00DA0285" w:rsidP="00DA0285">
      <w:pPr>
        <w:pStyle w:val="ListParagraph"/>
        <w:numPr>
          <w:ilvl w:val="1"/>
          <w:numId w:val="39"/>
        </w:numPr>
        <w:tabs>
          <w:tab w:val="left" w:pos="1170"/>
        </w:tabs>
        <w:rPr>
          <w:bCs/>
          <w:sz w:val="22"/>
          <w:szCs w:val="22"/>
        </w:rPr>
      </w:pPr>
      <w:r>
        <w:rPr>
          <w:bCs/>
          <w:sz w:val="22"/>
          <w:szCs w:val="22"/>
        </w:rPr>
        <w:t xml:space="preserve">Ditch maintenance </w:t>
      </w:r>
      <w:r w:rsidR="004343B8">
        <w:rPr>
          <w:bCs/>
          <w:sz w:val="22"/>
          <w:szCs w:val="22"/>
        </w:rPr>
        <w:t xml:space="preserve">– Sites needing cleaning noted were </w:t>
      </w:r>
      <w:proofErr w:type="spellStart"/>
      <w:r w:rsidR="004343B8">
        <w:rPr>
          <w:bCs/>
          <w:sz w:val="22"/>
          <w:szCs w:val="22"/>
        </w:rPr>
        <w:t>Hannegan</w:t>
      </w:r>
      <w:proofErr w:type="spellEnd"/>
      <w:r w:rsidR="004343B8">
        <w:rPr>
          <w:bCs/>
          <w:sz w:val="22"/>
          <w:szCs w:val="22"/>
        </w:rPr>
        <w:t xml:space="preserve"> ditch, </w:t>
      </w:r>
      <w:proofErr w:type="spellStart"/>
      <w:r w:rsidR="004343B8">
        <w:rPr>
          <w:bCs/>
          <w:sz w:val="22"/>
          <w:szCs w:val="22"/>
        </w:rPr>
        <w:t>Timon</w:t>
      </w:r>
      <w:proofErr w:type="spellEnd"/>
      <w:r w:rsidR="004343B8">
        <w:rPr>
          <w:bCs/>
          <w:sz w:val="22"/>
          <w:szCs w:val="22"/>
        </w:rPr>
        <w:t xml:space="preserve"> ditch, and </w:t>
      </w:r>
      <w:proofErr w:type="spellStart"/>
      <w:r w:rsidR="004343B8">
        <w:rPr>
          <w:bCs/>
          <w:sz w:val="22"/>
          <w:szCs w:val="22"/>
        </w:rPr>
        <w:t>Bylsma</w:t>
      </w:r>
      <w:proofErr w:type="spellEnd"/>
      <w:r w:rsidR="004343B8">
        <w:rPr>
          <w:bCs/>
          <w:sz w:val="22"/>
          <w:szCs w:val="22"/>
        </w:rPr>
        <w:t xml:space="preserve"> ditch.   </w:t>
      </w:r>
    </w:p>
    <w:p w:rsidR="00DA0285" w:rsidRPr="00C220B5" w:rsidRDefault="00DA0285" w:rsidP="00DA0285">
      <w:pPr>
        <w:pStyle w:val="ListParagraph"/>
        <w:numPr>
          <w:ilvl w:val="1"/>
          <w:numId w:val="39"/>
        </w:numPr>
        <w:tabs>
          <w:tab w:val="left" w:pos="1170"/>
          <w:tab w:val="left" w:pos="1620"/>
        </w:tabs>
        <w:rPr>
          <w:bCs/>
          <w:sz w:val="12"/>
          <w:szCs w:val="12"/>
          <w:u w:val="single"/>
        </w:rPr>
      </w:pPr>
      <w:r w:rsidRPr="00C220B5">
        <w:rPr>
          <w:bCs/>
          <w:sz w:val="22"/>
          <w:szCs w:val="22"/>
        </w:rPr>
        <w:t>Scott Ditch data</w:t>
      </w:r>
      <w:r w:rsidR="004343B8" w:rsidRPr="00C220B5">
        <w:rPr>
          <w:bCs/>
          <w:sz w:val="22"/>
          <w:szCs w:val="22"/>
        </w:rPr>
        <w:t xml:space="preserve"> – Frank noted that the 5 year permit for cleaning expired in August.   He felt it could be renewed with some effort.   A floodgate </w:t>
      </w:r>
      <w:r w:rsidR="00C220B5" w:rsidRPr="00C220B5">
        <w:rPr>
          <w:bCs/>
          <w:sz w:val="22"/>
          <w:szCs w:val="22"/>
        </w:rPr>
        <w:t xml:space="preserve">on Scott would be of benefit.   The Board discussed requesting a study on the costs and benefits of placing a seasonal floodgate on Scott to address the spring flooding issues.    </w:t>
      </w:r>
    </w:p>
    <w:p w:rsidR="00DA0285" w:rsidRPr="002B6939" w:rsidRDefault="00DA0285" w:rsidP="00DA0285">
      <w:pPr>
        <w:tabs>
          <w:tab w:val="left" w:pos="1620"/>
        </w:tabs>
        <w:rPr>
          <w:bCs/>
          <w:sz w:val="12"/>
          <w:szCs w:val="12"/>
          <w:u w:val="single"/>
        </w:rPr>
      </w:pPr>
    </w:p>
    <w:p w:rsidR="00DA0285" w:rsidRPr="009A4C72" w:rsidRDefault="00DA0285" w:rsidP="00DA0285">
      <w:pPr>
        <w:pStyle w:val="ListParagraph"/>
        <w:numPr>
          <w:ilvl w:val="0"/>
          <w:numId w:val="39"/>
        </w:numPr>
        <w:tabs>
          <w:tab w:val="left" w:pos="1170"/>
        </w:tabs>
        <w:rPr>
          <w:bCs/>
          <w:sz w:val="22"/>
          <w:szCs w:val="22"/>
          <w:u w:val="single"/>
        </w:rPr>
      </w:pPr>
      <w:r>
        <w:rPr>
          <w:bCs/>
          <w:sz w:val="22"/>
          <w:szCs w:val="22"/>
          <w:u w:val="single"/>
        </w:rPr>
        <w:t>Water Quality</w:t>
      </w:r>
      <w:r>
        <w:rPr>
          <w:bCs/>
          <w:sz w:val="22"/>
          <w:szCs w:val="22"/>
        </w:rPr>
        <w:t xml:space="preserve"> </w:t>
      </w:r>
    </w:p>
    <w:p w:rsidR="00DA0285" w:rsidRPr="00C220B5" w:rsidRDefault="00DA0285" w:rsidP="00DA0285">
      <w:pPr>
        <w:pStyle w:val="ListParagraph"/>
        <w:numPr>
          <w:ilvl w:val="1"/>
          <w:numId w:val="39"/>
        </w:numPr>
        <w:tabs>
          <w:tab w:val="left" w:pos="1170"/>
        </w:tabs>
        <w:rPr>
          <w:bCs/>
          <w:sz w:val="12"/>
          <w:szCs w:val="12"/>
          <w:u w:val="single"/>
        </w:rPr>
      </w:pPr>
      <w:r w:rsidRPr="004343B8">
        <w:rPr>
          <w:bCs/>
          <w:sz w:val="22"/>
          <w:szCs w:val="22"/>
        </w:rPr>
        <w:t>Water quality testing results</w:t>
      </w:r>
      <w:r w:rsidR="004343B8" w:rsidRPr="004343B8">
        <w:rPr>
          <w:bCs/>
          <w:sz w:val="22"/>
          <w:szCs w:val="22"/>
        </w:rPr>
        <w:t xml:space="preserve"> – Fred distributed a summary of the data over the past three months.   </w:t>
      </w:r>
      <w:r w:rsidR="004343B8" w:rsidRPr="004343B8">
        <w:rPr>
          <w:bCs/>
          <w:sz w:val="22"/>
          <w:szCs w:val="22"/>
        </w:rPr>
        <w:t>The Board discussed if there were any trends or clear concerns that required follow-up.</w:t>
      </w:r>
      <w:r w:rsidR="004343B8" w:rsidRPr="004343B8">
        <w:rPr>
          <w:bCs/>
          <w:sz w:val="22"/>
          <w:szCs w:val="22"/>
        </w:rPr>
        <w:t xml:space="preserve">  E Coli and enterococci analysis are of interest to the board.</w:t>
      </w:r>
    </w:p>
    <w:p w:rsidR="00C220B5" w:rsidRPr="004343B8" w:rsidRDefault="00C220B5" w:rsidP="00DA0285">
      <w:pPr>
        <w:pStyle w:val="ListParagraph"/>
        <w:numPr>
          <w:ilvl w:val="1"/>
          <w:numId w:val="39"/>
        </w:numPr>
        <w:tabs>
          <w:tab w:val="left" w:pos="1170"/>
        </w:tabs>
        <w:rPr>
          <w:bCs/>
          <w:sz w:val="12"/>
          <w:szCs w:val="12"/>
          <w:u w:val="single"/>
        </w:rPr>
      </w:pPr>
      <w:r>
        <w:rPr>
          <w:bCs/>
          <w:sz w:val="22"/>
          <w:szCs w:val="22"/>
        </w:rPr>
        <w:t xml:space="preserve">Fred has not heard if the request to Ecology for including </w:t>
      </w:r>
      <w:r w:rsidRPr="004343B8">
        <w:rPr>
          <w:bCs/>
          <w:sz w:val="22"/>
          <w:szCs w:val="22"/>
        </w:rPr>
        <w:t>E Coli and enterococci analysis</w:t>
      </w:r>
      <w:r>
        <w:rPr>
          <w:bCs/>
          <w:sz w:val="22"/>
          <w:szCs w:val="22"/>
        </w:rPr>
        <w:t xml:space="preserve"> has been approved in the QAPP.   </w:t>
      </w:r>
    </w:p>
    <w:p w:rsidR="00DA0285" w:rsidRPr="002B6939" w:rsidRDefault="00DA0285" w:rsidP="00DA0285">
      <w:pPr>
        <w:pStyle w:val="ListParagraph"/>
        <w:rPr>
          <w:bCs/>
          <w:sz w:val="12"/>
          <w:szCs w:val="12"/>
          <w:u w:val="single"/>
        </w:rPr>
      </w:pPr>
    </w:p>
    <w:p w:rsidR="00532F8F" w:rsidRDefault="00532F8F" w:rsidP="00532F8F">
      <w:pPr>
        <w:pStyle w:val="ListParagraph"/>
        <w:numPr>
          <w:ilvl w:val="0"/>
          <w:numId w:val="39"/>
        </w:numPr>
        <w:tabs>
          <w:tab w:val="left" w:pos="1170"/>
        </w:tabs>
        <w:rPr>
          <w:bCs/>
          <w:sz w:val="22"/>
          <w:szCs w:val="22"/>
          <w:u w:val="single"/>
        </w:rPr>
      </w:pPr>
      <w:r>
        <w:rPr>
          <w:bCs/>
          <w:sz w:val="22"/>
          <w:szCs w:val="22"/>
          <w:u w:val="single"/>
        </w:rPr>
        <w:t>Water Quantity</w:t>
      </w:r>
    </w:p>
    <w:p w:rsidR="00532F8F" w:rsidRDefault="00532F8F" w:rsidP="00532F8F">
      <w:pPr>
        <w:pStyle w:val="ListParagraph"/>
        <w:numPr>
          <w:ilvl w:val="1"/>
          <w:numId w:val="39"/>
        </w:numPr>
        <w:tabs>
          <w:tab w:val="left" w:pos="1170"/>
        </w:tabs>
        <w:rPr>
          <w:bCs/>
          <w:sz w:val="22"/>
          <w:szCs w:val="22"/>
        </w:rPr>
      </w:pPr>
      <w:r>
        <w:rPr>
          <w:bCs/>
          <w:sz w:val="22"/>
          <w:szCs w:val="22"/>
        </w:rPr>
        <w:t xml:space="preserve">Planning Unit – The PU plans to be self - facilitated in 2016.   The County has approved another $40k for PU functions in 2016 but will require a clear budget and PU consensus on how these dollars are spent.   </w:t>
      </w:r>
    </w:p>
    <w:p w:rsidR="00532F8F" w:rsidRDefault="00532F8F" w:rsidP="00532F8F">
      <w:pPr>
        <w:pStyle w:val="ListParagraph"/>
        <w:numPr>
          <w:ilvl w:val="1"/>
          <w:numId w:val="39"/>
        </w:numPr>
        <w:tabs>
          <w:tab w:val="left" w:pos="1170"/>
        </w:tabs>
        <w:rPr>
          <w:bCs/>
          <w:sz w:val="22"/>
          <w:szCs w:val="22"/>
        </w:rPr>
      </w:pPr>
      <w:r>
        <w:rPr>
          <w:bCs/>
          <w:sz w:val="22"/>
          <w:szCs w:val="22"/>
        </w:rPr>
        <w:t>Out of Stream Users Group – Dec. 17</w:t>
      </w:r>
      <w:r w:rsidRPr="00F225D1">
        <w:rPr>
          <w:bCs/>
          <w:sz w:val="22"/>
          <w:szCs w:val="22"/>
          <w:vertAlign w:val="superscript"/>
        </w:rPr>
        <w:t>th</w:t>
      </w:r>
      <w:r>
        <w:rPr>
          <w:bCs/>
          <w:sz w:val="22"/>
          <w:szCs w:val="22"/>
        </w:rPr>
        <w:t xml:space="preserve"> meeting initial meeting of the staffs of these entities – AWB, PUD, Water Districts, Water Associations, Small Cities, Bellingham, and Whatcom County.    </w:t>
      </w:r>
    </w:p>
    <w:p w:rsidR="00532F8F" w:rsidRDefault="00532F8F" w:rsidP="00532F8F">
      <w:pPr>
        <w:pStyle w:val="ListParagraph"/>
        <w:numPr>
          <w:ilvl w:val="1"/>
          <w:numId w:val="39"/>
        </w:numPr>
        <w:tabs>
          <w:tab w:val="left" w:pos="1170"/>
        </w:tabs>
        <w:rPr>
          <w:bCs/>
          <w:sz w:val="22"/>
          <w:szCs w:val="22"/>
        </w:rPr>
      </w:pPr>
      <w:r>
        <w:rPr>
          <w:bCs/>
          <w:sz w:val="22"/>
          <w:szCs w:val="22"/>
        </w:rPr>
        <w:t xml:space="preserve">Drought Preparation application – still in progress under Bill and Henry’s leadership.  </w:t>
      </w:r>
    </w:p>
    <w:p w:rsidR="00DA0285" w:rsidRDefault="00DA0285" w:rsidP="00DA0285">
      <w:pPr>
        <w:pStyle w:val="ListParagraph"/>
        <w:tabs>
          <w:tab w:val="left" w:pos="1170"/>
        </w:tabs>
        <w:ind w:left="1530"/>
        <w:rPr>
          <w:bCs/>
          <w:sz w:val="12"/>
          <w:szCs w:val="12"/>
          <w:u w:val="single"/>
        </w:rPr>
      </w:pPr>
    </w:p>
    <w:p w:rsidR="00DA0285" w:rsidRPr="002F09C8" w:rsidRDefault="00DA0285" w:rsidP="00DA0285">
      <w:pPr>
        <w:pStyle w:val="ListParagraph"/>
        <w:numPr>
          <w:ilvl w:val="0"/>
          <w:numId w:val="39"/>
        </w:numPr>
        <w:tabs>
          <w:tab w:val="left" w:pos="1170"/>
        </w:tabs>
        <w:rPr>
          <w:bCs/>
          <w:sz w:val="22"/>
          <w:szCs w:val="22"/>
          <w:u w:val="single"/>
        </w:rPr>
      </w:pPr>
      <w:r>
        <w:rPr>
          <w:bCs/>
          <w:sz w:val="22"/>
          <w:szCs w:val="22"/>
          <w:u w:val="single"/>
        </w:rPr>
        <w:t xml:space="preserve">Education </w:t>
      </w:r>
    </w:p>
    <w:p w:rsidR="00532F8F" w:rsidRPr="00532F8F" w:rsidRDefault="00532F8F" w:rsidP="00DA0285">
      <w:pPr>
        <w:pStyle w:val="ListParagraph"/>
        <w:numPr>
          <w:ilvl w:val="1"/>
          <w:numId w:val="39"/>
        </w:numPr>
        <w:tabs>
          <w:tab w:val="left" w:pos="1170"/>
        </w:tabs>
        <w:rPr>
          <w:bCs/>
          <w:sz w:val="22"/>
          <w:szCs w:val="22"/>
          <w:u w:val="single"/>
        </w:rPr>
      </w:pPr>
      <w:r w:rsidRPr="00C06638">
        <w:rPr>
          <w:bCs/>
          <w:sz w:val="22"/>
          <w:szCs w:val="22"/>
        </w:rPr>
        <w:t xml:space="preserve">Comprehensive Plan Update – Heather MacKay – short work session – Heather provided an overview of the work accomplished in the Ag Watershed Project and how the next steps will be helpful to the development of the WID Comprehensive Plan.    An MOA concerning mutual expectations will be developed between the WID and the County for the January Board meeting.   An extended work session was scheduled for </w:t>
      </w:r>
      <w:r>
        <w:rPr>
          <w:bCs/>
          <w:sz w:val="22"/>
          <w:szCs w:val="22"/>
        </w:rPr>
        <w:t>January 25th</w:t>
      </w:r>
      <w:r w:rsidRPr="00C06638">
        <w:rPr>
          <w:bCs/>
          <w:sz w:val="22"/>
          <w:szCs w:val="22"/>
        </w:rPr>
        <w:t>, 1-4pm.   The Board is encouraged to think of knowledgeable people who might participate in the mapping project.</w:t>
      </w:r>
      <w:r w:rsidR="004343B8">
        <w:rPr>
          <w:bCs/>
          <w:sz w:val="22"/>
          <w:szCs w:val="22"/>
        </w:rPr>
        <w:t xml:space="preserve">  Jake De </w:t>
      </w:r>
      <w:proofErr w:type="spellStart"/>
      <w:r w:rsidR="004343B8">
        <w:rPr>
          <w:bCs/>
          <w:sz w:val="22"/>
          <w:szCs w:val="22"/>
        </w:rPr>
        <w:t>Hoog</w:t>
      </w:r>
      <w:proofErr w:type="spellEnd"/>
      <w:r w:rsidR="004343B8">
        <w:rPr>
          <w:bCs/>
          <w:sz w:val="22"/>
          <w:szCs w:val="22"/>
        </w:rPr>
        <w:t xml:space="preserve"> was invited to participate.   </w:t>
      </w:r>
    </w:p>
    <w:p w:rsidR="00DA0285" w:rsidRPr="002F09C8" w:rsidRDefault="00DA0285" w:rsidP="00DA0285">
      <w:pPr>
        <w:pStyle w:val="ListParagraph"/>
        <w:numPr>
          <w:ilvl w:val="1"/>
          <w:numId w:val="39"/>
        </w:numPr>
        <w:tabs>
          <w:tab w:val="left" w:pos="1170"/>
        </w:tabs>
        <w:rPr>
          <w:bCs/>
          <w:sz w:val="22"/>
          <w:szCs w:val="22"/>
          <w:u w:val="single"/>
        </w:rPr>
      </w:pPr>
      <w:r>
        <w:rPr>
          <w:bCs/>
          <w:sz w:val="22"/>
          <w:szCs w:val="22"/>
        </w:rPr>
        <w:t xml:space="preserve">Website  </w:t>
      </w:r>
      <w:hyperlink r:id="rId7" w:history="1">
        <w:r w:rsidRPr="00F10382">
          <w:rPr>
            <w:rStyle w:val="Hyperlink"/>
            <w:bCs/>
            <w:sz w:val="22"/>
            <w:szCs w:val="22"/>
          </w:rPr>
          <w:t>www.southlyndenwid.com</w:t>
        </w:r>
      </w:hyperlink>
    </w:p>
    <w:p w:rsidR="00DA0285" w:rsidRDefault="00DA0285" w:rsidP="00DA0285">
      <w:pPr>
        <w:pStyle w:val="ListParagraph"/>
        <w:tabs>
          <w:tab w:val="left" w:pos="1170"/>
        </w:tabs>
        <w:ind w:left="1530"/>
        <w:rPr>
          <w:bCs/>
          <w:sz w:val="12"/>
          <w:szCs w:val="12"/>
          <w:u w:val="single"/>
        </w:rPr>
      </w:pPr>
    </w:p>
    <w:p w:rsidR="00DA0285" w:rsidRDefault="00DA0285" w:rsidP="00DA0285">
      <w:pPr>
        <w:rPr>
          <w:b/>
          <w:bCs/>
          <w:sz w:val="28"/>
          <w:szCs w:val="28"/>
        </w:rPr>
      </w:pPr>
      <w:r>
        <w:rPr>
          <w:b/>
          <w:bCs/>
          <w:sz w:val="28"/>
          <w:szCs w:val="28"/>
        </w:rPr>
        <w:t>IV.</w:t>
      </w:r>
      <w:r>
        <w:rPr>
          <w:b/>
          <w:bCs/>
          <w:sz w:val="28"/>
          <w:szCs w:val="28"/>
        </w:rPr>
        <w:tab/>
        <w:t>Adjournment/Next Meeting</w:t>
      </w:r>
    </w:p>
    <w:p w:rsidR="00DA0285" w:rsidRDefault="00DA0285" w:rsidP="00DA0285">
      <w:pPr>
        <w:rPr>
          <w:bCs/>
          <w:sz w:val="22"/>
          <w:szCs w:val="22"/>
        </w:rPr>
      </w:pPr>
      <w:r>
        <w:rPr>
          <w:b/>
          <w:bCs/>
          <w:sz w:val="28"/>
          <w:szCs w:val="28"/>
        </w:rPr>
        <w:tab/>
      </w:r>
      <w:r>
        <w:rPr>
          <w:b/>
          <w:bCs/>
          <w:sz w:val="28"/>
          <w:szCs w:val="28"/>
        </w:rPr>
        <w:tab/>
      </w:r>
      <w:bookmarkEnd w:id="3"/>
      <w:bookmarkEnd w:id="4"/>
      <w:bookmarkEnd w:id="5"/>
      <w:bookmarkEnd w:id="6"/>
      <w:r>
        <w:rPr>
          <w:bCs/>
          <w:sz w:val="22"/>
          <w:szCs w:val="22"/>
        </w:rPr>
        <w:t>January 12</w:t>
      </w:r>
    </w:p>
    <w:p w:rsidR="00A75C57" w:rsidRDefault="00A75C57" w:rsidP="001C74D0"/>
    <w:p w:rsidR="00A75C57" w:rsidRPr="0023327B" w:rsidRDefault="00A75C57" w:rsidP="001C74D0">
      <w:bookmarkStart w:id="7" w:name="_GoBack"/>
      <w:bookmarkEnd w:id="7"/>
    </w:p>
    <w:bookmarkEnd w:id="0"/>
    <w:bookmarkEnd w:id="1"/>
    <w:bookmarkEnd w:id="2"/>
    <w:p w:rsidR="00206093" w:rsidRDefault="00206093" w:rsidP="00D847D5">
      <w:pPr>
        <w:rPr>
          <w:bCs/>
          <w:sz w:val="22"/>
          <w:szCs w:val="22"/>
        </w:rPr>
      </w:pPr>
    </w:p>
    <w:p w:rsidR="00206093" w:rsidRPr="00206093" w:rsidRDefault="00206093" w:rsidP="00206093">
      <w:pPr>
        <w:ind w:left="1440" w:firstLine="720"/>
        <w:rPr>
          <w:sz w:val="22"/>
          <w:szCs w:val="22"/>
        </w:rPr>
      </w:pPr>
      <w:r w:rsidRPr="00206093">
        <w:rPr>
          <w:sz w:val="22"/>
          <w:szCs w:val="22"/>
        </w:rPr>
        <w:t>Respectfully submitted by Henry Bierlink, Whatcom Farm Friends</w:t>
      </w:r>
    </w:p>
    <w:p w:rsidR="00206093" w:rsidRPr="00206093" w:rsidRDefault="00206093" w:rsidP="00206093">
      <w:pPr>
        <w:ind w:left="1440" w:firstLine="720"/>
        <w:rPr>
          <w:sz w:val="10"/>
          <w:szCs w:val="10"/>
        </w:rPr>
      </w:pPr>
    </w:p>
    <w:p w:rsidR="00206093" w:rsidRPr="003B2F9A" w:rsidRDefault="00206093" w:rsidP="008B6631">
      <w:pPr>
        <w:ind w:left="720"/>
        <w:rPr>
          <w:bCs/>
          <w:sz w:val="22"/>
          <w:szCs w:val="22"/>
        </w:rPr>
      </w:pPr>
      <w:r w:rsidRPr="00206093">
        <w:rPr>
          <w:b/>
          <w:bCs/>
          <w:sz w:val="22"/>
          <w:szCs w:val="22"/>
        </w:rPr>
        <w:tab/>
      </w:r>
      <w:r w:rsidRPr="00206093">
        <w:rPr>
          <w:b/>
          <w:bCs/>
          <w:sz w:val="22"/>
          <w:szCs w:val="22"/>
        </w:rPr>
        <w:tab/>
        <w:t>Approved by _________________________________________</w:t>
      </w:r>
    </w:p>
    <w:sectPr w:rsidR="00206093" w:rsidRPr="003B2F9A" w:rsidSect="00B209D4">
      <w:pgSz w:w="12240" w:h="15840"/>
      <w:pgMar w:top="900" w:right="12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10E"/>
    <w:multiLevelType w:val="hybridMultilevel"/>
    <w:tmpl w:val="5CF22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9B23BC"/>
    <w:multiLevelType w:val="hybridMultilevel"/>
    <w:tmpl w:val="F8E4EDF0"/>
    <w:lvl w:ilvl="0" w:tplc="B950AE9E">
      <w:start w:val="1"/>
      <w:numFmt w:val="upperRoman"/>
      <w:lvlText w:val="%1."/>
      <w:lvlJc w:val="left"/>
      <w:pPr>
        <w:tabs>
          <w:tab w:val="num" w:pos="1260"/>
        </w:tabs>
        <w:ind w:left="1260" w:hanging="720"/>
      </w:pPr>
      <w:rPr>
        <w:rFonts w:ascii="Times New Roman" w:eastAsia="Times New Roman" w:hAnsi="Times New Roman" w:cs="Times New Roman"/>
      </w:rPr>
    </w:lvl>
    <w:lvl w:ilvl="1" w:tplc="93B88DE6">
      <w:start w:val="1"/>
      <w:numFmt w:val="lowerLetter"/>
      <w:lvlText w:val="%2."/>
      <w:lvlJc w:val="left"/>
      <w:pPr>
        <w:tabs>
          <w:tab w:val="num" w:pos="1620"/>
        </w:tabs>
        <w:ind w:left="1620" w:hanging="360"/>
      </w:pPr>
      <w:rPr>
        <w:rFonts w:ascii="Times New Roman" w:hAnsi="Times New Roman" w:cs="Times New Roman" w:hint="default"/>
        <w:b w:val="0"/>
        <w:sz w:val="22"/>
        <w:szCs w:val="22"/>
      </w:rPr>
    </w:lvl>
    <w:lvl w:ilvl="2" w:tplc="04090005">
      <w:start w:val="1"/>
      <w:numFmt w:val="bullet"/>
      <w:lvlText w:val=""/>
      <w:lvlJc w:val="left"/>
      <w:pPr>
        <w:tabs>
          <w:tab w:val="num" w:pos="2520"/>
        </w:tabs>
        <w:ind w:left="2520" w:hanging="360"/>
      </w:pPr>
      <w:rPr>
        <w:rFonts w:ascii="Wingdings" w:hAnsi="Wingdings" w:hint="default"/>
      </w:rPr>
    </w:lvl>
    <w:lvl w:ilvl="3" w:tplc="9AC2AA1E">
      <w:start w:val="3"/>
      <w:numFmt w:val="bullet"/>
      <w:lvlText w:val="-"/>
      <w:lvlJc w:val="left"/>
      <w:pPr>
        <w:ind w:left="3060" w:hanging="360"/>
      </w:pPr>
      <w:rPr>
        <w:rFonts w:ascii="Times New Roman" w:eastAsia="Times New Roman" w:hAnsi="Times New Roman" w:cs="Times New Roman"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2D41DDC"/>
    <w:multiLevelType w:val="hybridMultilevel"/>
    <w:tmpl w:val="FFA292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B3340"/>
    <w:multiLevelType w:val="hybridMultilevel"/>
    <w:tmpl w:val="9A8433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B8B77F7"/>
    <w:multiLevelType w:val="hybridMultilevel"/>
    <w:tmpl w:val="3CEEF1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0639E2"/>
    <w:multiLevelType w:val="hybridMultilevel"/>
    <w:tmpl w:val="8F067C04"/>
    <w:lvl w:ilvl="0" w:tplc="04090001">
      <w:start w:val="1"/>
      <w:numFmt w:val="bullet"/>
      <w:lvlText w:val=""/>
      <w:lvlJc w:val="left"/>
      <w:pPr>
        <w:ind w:left="1267" w:hanging="360"/>
      </w:pPr>
      <w:rPr>
        <w:rFonts w:ascii="Symbol" w:hAnsi="Symbol" w:hint="default"/>
      </w:rPr>
    </w:lvl>
    <w:lvl w:ilvl="1" w:tplc="04090001">
      <w:start w:val="1"/>
      <w:numFmt w:val="bullet"/>
      <w:lvlText w:val=""/>
      <w:lvlJc w:val="left"/>
      <w:pPr>
        <w:ind w:left="1987" w:hanging="360"/>
      </w:pPr>
      <w:rPr>
        <w:rFonts w:ascii="Symbol" w:hAnsi="Symbol" w:hint="default"/>
      </w:rPr>
    </w:lvl>
    <w:lvl w:ilvl="2" w:tplc="0409001B">
      <w:start w:val="1"/>
      <w:numFmt w:val="lowerRoman"/>
      <w:lvlText w:val="%3."/>
      <w:lvlJc w:val="right"/>
      <w:pPr>
        <w:ind w:left="2707" w:hanging="180"/>
      </w:pPr>
    </w:lvl>
    <w:lvl w:ilvl="3" w:tplc="114AA1CE">
      <w:start w:val="1"/>
      <w:numFmt w:val="decimal"/>
      <w:lvlText w:val="%4."/>
      <w:lvlJc w:val="left"/>
      <w:pPr>
        <w:ind w:left="3427" w:hanging="360"/>
      </w:pPr>
      <w:rPr>
        <w:rFonts w:hint="default"/>
      </w:r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nsid w:val="0E5C00AB"/>
    <w:multiLevelType w:val="hybridMultilevel"/>
    <w:tmpl w:val="8AE020E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14DF6C5C"/>
    <w:multiLevelType w:val="hybridMultilevel"/>
    <w:tmpl w:val="AEB4BCD2"/>
    <w:lvl w:ilvl="0" w:tplc="7462533C">
      <w:start w:val="1"/>
      <w:numFmt w:val="upperRoman"/>
      <w:lvlText w:val="%1."/>
      <w:lvlJc w:val="left"/>
      <w:pPr>
        <w:ind w:left="540" w:hanging="360"/>
      </w:pPr>
      <w:rPr>
        <w:rFonts w:hint="default"/>
        <w:b/>
        <w:sz w:val="28"/>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155C10FB"/>
    <w:multiLevelType w:val="hybridMultilevel"/>
    <w:tmpl w:val="2D8CB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574342D"/>
    <w:multiLevelType w:val="hybridMultilevel"/>
    <w:tmpl w:val="B9F09E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5B73DF1"/>
    <w:multiLevelType w:val="hybridMultilevel"/>
    <w:tmpl w:val="F80A2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D492B"/>
    <w:multiLevelType w:val="hybridMultilevel"/>
    <w:tmpl w:val="1B10ACE6"/>
    <w:lvl w:ilvl="0" w:tplc="F3A6C6BA">
      <w:start w:val="1"/>
      <w:numFmt w:val="upperLetter"/>
      <w:lvlText w:val="%1."/>
      <w:lvlJc w:val="left"/>
      <w:pPr>
        <w:ind w:left="1530" w:hanging="360"/>
      </w:pPr>
      <w:rPr>
        <w:sz w:val="22"/>
        <w:szCs w:val="22"/>
      </w:rPr>
    </w:lvl>
    <w:lvl w:ilvl="1" w:tplc="04090001">
      <w:start w:val="1"/>
      <w:numFmt w:val="bullet"/>
      <w:lvlText w:val=""/>
      <w:lvlJc w:val="left"/>
      <w:pPr>
        <w:ind w:left="1980" w:hanging="360"/>
      </w:pPr>
      <w:rPr>
        <w:rFonts w:ascii="Symbol" w:hAnsi="Symbol" w:hint="default"/>
      </w:rPr>
    </w:lvl>
    <w:lvl w:ilvl="2" w:tplc="AB847AF2">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D87025F"/>
    <w:multiLevelType w:val="hybridMultilevel"/>
    <w:tmpl w:val="40A0B2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CB4D5B"/>
    <w:multiLevelType w:val="hybridMultilevel"/>
    <w:tmpl w:val="6790833A"/>
    <w:lvl w:ilvl="0" w:tplc="41781812">
      <w:start w:val="1"/>
      <w:numFmt w:val="lowerLetter"/>
      <w:lvlText w:val="%1."/>
      <w:lvlJc w:val="left"/>
      <w:pPr>
        <w:ind w:left="1440" w:hanging="360"/>
      </w:pPr>
      <w:rPr>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CE6C23"/>
    <w:multiLevelType w:val="hybridMultilevel"/>
    <w:tmpl w:val="95205576"/>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2C8357BF"/>
    <w:multiLevelType w:val="hybridMultilevel"/>
    <w:tmpl w:val="5BCC2686"/>
    <w:lvl w:ilvl="0" w:tplc="1E0407AC">
      <w:start w:val="1"/>
      <w:numFmt w:val="upperLetter"/>
      <w:lvlText w:val="%1."/>
      <w:lvlJc w:val="left"/>
      <w:pPr>
        <w:ind w:left="1530" w:hanging="360"/>
      </w:pPr>
      <w:rPr>
        <w:rFonts w:hint="default"/>
      </w:rPr>
    </w:lvl>
    <w:lvl w:ilvl="1" w:tplc="29AAB5BC">
      <w:start w:val="1"/>
      <w:numFmt w:val="bullet"/>
      <w:lvlText w:val=""/>
      <w:lvlJc w:val="left"/>
      <w:pPr>
        <w:ind w:left="2250" w:hanging="360"/>
      </w:pPr>
      <w:rPr>
        <w:rFonts w:ascii="Symbol" w:hAnsi="Symbol" w:hint="default"/>
        <w:sz w:val="22"/>
        <w:szCs w:val="22"/>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0AE338C"/>
    <w:multiLevelType w:val="hybridMultilevel"/>
    <w:tmpl w:val="508E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BE0E52"/>
    <w:multiLevelType w:val="hybridMultilevel"/>
    <w:tmpl w:val="C17409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36271EF"/>
    <w:multiLevelType w:val="hybridMultilevel"/>
    <w:tmpl w:val="BFF808DA"/>
    <w:lvl w:ilvl="0" w:tplc="7710FEE4">
      <w:start w:val="1"/>
      <w:numFmt w:val="upperLetter"/>
      <w:lvlText w:val="%1."/>
      <w:lvlJc w:val="left"/>
      <w:pPr>
        <w:ind w:left="1267" w:hanging="360"/>
      </w:pPr>
      <w:rPr>
        <w:rFonts w:hint="default"/>
      </w:rPr>
    </w:lvl>
    <w:lvl w:ilvl="1" w:tplc="04090001">
      <w:start w:val="1"/>
      <w:numFmt w:val="bullet"/>
      <w:lvlText w:val=""/>
      <w:lvlJc w:val="left"/>
      <w:pPr>
        <w:ind w:left="1987" w:hanging="360"/>
      </w:pPr>
      <w:rPr>
        <w:rFonts w:ascii="Symbol" w:hAnsi="Symbol" w:hint="default"/>
      </w:rPr>
    </w:lvl>
    <w:lvl w:ilvl="2" w:tplc="0409001B">
      <w:start w:val="1"/>
      <w:numFmt w:val="lowerRoman"/>
      <w:lvlText w:val="%3."/>
      <w:lvlJc w:val="right"/>
      <w:pPr>
        <w:ind w:left="2707" w:hanging="180"/>
      </w:pPr>
    </w:lvl>
    <w:lvl w:ilvl="3" w:tplc="114AA1CE">
      <w:start w:val="1"/>
      <w:numFmt w:val="decimal"/>
      <w:lvlText w:val="%4."/>
      <w:lvlJc w:val="left"/>
      <w:pPr>
        <w:ind w:left="3427" w:hanging="360"/>
      </w:pPr>
      <w:rPr>
        <w:rFonts w:hint="default"/>
      </w:rPr>
    </w:lvl>
    <w:lvl w:ilvl="4" w:tplc="04090019">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nsid w:val="34EB5E9B"/>
    <w:multiLevelType w:val="hybridMultilevel"/>
    <w:tmpl w:val="7962430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nsid w:val="36D83C56"/>
    <w:multiLevelType w:val="hybridMultilevel"/>
    <w:tmpl w:val="CA42D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8C76332"/>
    <w:multiLevelType w:val="hybridMultilevel"/>
    <w:tmpl w:val="7DBC1ED4"/>
    <w:lvl w:ilvl="0" w:tplc="7AF21900">
      <w:start w:val="1"/>
      <w:numFmt w:val="upperLetter"/>
      <w:lvlText w:val="%1."/>
      <w:lvlJc w:val="left"/>
      <w:pPr>
        <w:ind w:left="2160" w:hanging="360"/>
      </w:pPr>
      <w:rPr>
        <w:rFonts w:hint="default"/>
        <w:sz w:val="22"/>
        <w:szCs w:val="22"/>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B1A24A9"/>
    <w:multiLevelType w:val="hybridMultilevel"/>
    <w:tmpl w:val="C284F9C4"/>
    <w:lvl w:ilvl="0" w:tplc="A6407EDE">
      <w:start w:val="1"/>
      <w:numFmt w:val="upperLetter"/>
      <w:lvlText w:val="%1."/>
      <w:lvlJc w:val="left"/>
      <w:pPr>
        <w:ind w:left="1530" w:hanging="360"/>
      </w:pPr>
      <w:rPr>
        <w:rFonts w:hint="default"/>
      </w:rPr>
    </w:lvl>
    <w:lvl w:ilvl="1" w:tplc="04090001">
      <w:start w:val="1"/>
      <w:numFmt w:val="bullet"/>
      <w:lvlText w:val=""/>
      <w:lvlJc w:val="left"/>
      <w:pPr>
        <w:ind w:left="2250" w:hanging="360"/>
      </w:pPr>
      <w:rPr>
        <w:rFonts w:ascii="Symbol" w:hAnsi="Symbol" w:hint="default"/>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4A22EE3"/>
    <w:multiLevelType w:val="hybridMultilevel"/>
    <w:tmpl w:val="FB86F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86F7F5C"/>
    <w:multiLevelType w:val="hybridMultilevel"/>
    <w:tmpl w:val="6560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B765C7"/>
    <w:multiLevelType w:val="hybridMultilevel"/>
    <w:tmpl w:val="A198C2E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nsid w:val="4A154027"/>
    <w:multiLevelType w:val="hybridMultilevel"/>
    <w:tmpl w:val="CB8E85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CB6376B"/>
    <w:multiLevelType w:val="hybridMultilevel"/>
    <w:tmpl w:val="833AAA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nsid w:val="52612425"/>
    <w:multiLevelType w:val="hybridMultilevel"/>
    <w:tmpl w:val="B0AEA0A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4730E22"/>
    <w:multiLevelType w:val="hybridMultilevel"/>
    <w:tmpl w:val="9EDA806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4F869F1"/>
    <w:multiLevelType w:val="hybridMultilevel"/>
    <w:tmpl w:val="05CE0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6524208"/>
    <w:multiLevelType w:val="hybridMultilevel"/>
    <w:tmpl w:val="D5465F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654154B"/>
    <w:multiLevelType w:val="hybridMultilevel"/>
    <w:tmpl w:val="122A3A98"/>
    <w:lvl w:ilvl="0" w:tplc="E33E500C">
      <w:start w:val="1"/>
      <w:numFmt w:val="upperRoman"/>
      <w:lvlText w:val="%1."/>
      <w:lvlJc w:val="left"/>
      <w:pPr>
        <w:ind w:left="900" w:hanging="720"/>
      </w:pPr>
      <w:rPr>
        <w:rFonts w:hint="default"/>
        <w:b/>
        <w:sz w:val="28"/>
      </w:rPr>
    </w:lvl>
    <w:lvl w:ilvl="1" w:tplc="835CCBAC">
      <w:start w:val="1"/>
      <w:numFmt w:val="lowerLetter"/>
      <w:lvlText w:val="%2."/>
      <w:lvlJc w:val="left"/>
      <w:pPr>
        <w:ind w:left="1530" w:hanging="360"/>
      </w:pPr>
      <w:rPr>
        <w:b/>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6FA747C"/>
    <w:multiLevelType w:val="hybridMultilevel"/>
    <w:tmpl w:val="EE721A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5D1E1E5C"/>
    <w:multiLevelType w:val="hybridMultilevel"/>
    <w:tmpl w:val="EE445E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46062C"/>
    <w:multiLevelType w:val="hybridMultilevel"/>
    <w:tmpl w:val="6B02AA64"/>
    <w:lvl w:ilvl="0" w:tplc="8AC63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935C78"/>
    <w:multiLevelType w:val="hybridMultilevel"/>
    <w:tmpl w:val="8920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56A41"/>
    <w:multiLevelType w:val="hybridMultilevel"/>
    <w:tmpl w:val="33DC0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F734C4"/>
    <w:multiLevelType w:val="hybridMultilevel"/>
    <w:tmpl w:val="E506B20A"/>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9">
    <w:nsid w:val="677675B4"/>
    <w:multiLevelType w:val="hybridMultilevel"/>
    <w:tmpl w:val="7A42BE2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nsid w:val="6A9234F3"/>
    <w:multiLevelType w:val="hybridMultilevel"/>
    <w:tmpl w:val="9B080CC2"/>
    <w:lvl w:ilvl="0" w:tplc="7B40C3D6">
      <w:start w:val="7"/>
      <w:numFmt w:val="upperLetter"/>
      <w:lvlText w:val="%1."/>
      <w:lvlJc w:val="left"/>
      <w:pPr>
        <w:tabs>
          <w:tab w:val="num" w:pos="1260"/>
        </w:tabs>
        <w:ind w:left="126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6B073ECA"/>
    <w:multiLevelType w:val="hybridMultilevel"/>
    <w:tmpl w:val="1BB098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nsid w:val="6D2F71E2"/>
    <w:multiLevelType w:val="hybridMultilevel"/>
    <w:tmpl w:val="D4B603EE"/>
    <w:lvl w:ilvl="0" w:tplc="28A8097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7168766E"/>
    <w:multiLevelType w:val="hybridMultilevel"/>
    <w:tmpl w:val="4AFE60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263053C"/>
    <w:multiLevelType w:val="hybridMultilevel"/>
    <w:tmpl w:val="697C5950"/>
    <w:lvl w:ilvl="0" w:tplc="CC127E68">
      <w:start w:val="1"/>
      <w:numFmt w:val="upperLetter"/>
      <w:lvlText w:val="%1."/>
      <w:lvlJc w:val="left"/>
      <w:pPr>
        <w:ind w:left="1440" w:hanging="360"/>
      </w:pPr>
      <w:rPr>
        <w:rFonts w:ascii="Times New Roman" w:hAnsi="Times New Roman" w:cs="Times New Roman" w:hint="default"/>
        <w:color w:val="auto"/>
        <w:sz w:val="22"/>
        <w:szCs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7DF6D45"/>
    <w:multiLevelType w:val="hybridMultilevel"/>
    <w:tmpl w:val="8D94CA1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6">
    <w:nsid w:val="7BA82394"/>
    <w:multiLevelType w:val="hybridMultilevel"/>
    <w:tmpl w:val="E13EAFB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31"/>
  </w:num>
  <w:num w:numId="2">
    <w:abstractNumId w:val="39"/>
  </w:num>
  <w:num w:numId="3">
    <w:abstractNumId w:val="46"/>
  </w:num>
  <w:num w:numId="4">
    <w:abstractNumId w:val="1"/>
  </w:num>
  <w:num w:numId="5">
    <w:abstractNumId w:val="40"/>
  </w:num>
  <w:num w:numId="6">
    <w:abstractNumId w:val="18"/>
  </w:num>
  <w:num w:numId="7">
    <w:abstractNumId w:val="36"/>
  </w:num>
  <w:num w:numId="8">
    <w:abstractNumId w:val="8"/>
  </w:num>
  <w:num w:numId="9">
    <w:abstractNumId w:val="27"/>
  </w:num>
  <w:num w:numId="10">
    <w:abstractNumId w:val="3"/>
  </w:num>
  <w:num w:numId="11">
    <w:abstractNumId w:val="0"/>
  </w:num>
  <w:num w:numId="12">
    <w:abstractNumId w:val="42"/>
  </w:num>
  <w:num w:numId="13">
    <w:abstractNumId w:val="43"/>
  </w:num>
  <w:num w:numId="14">
    <w:abstractNumId w:val="20"/>
  </w:num>
  <w:num w:numId="15">
    <w:abstractNumId w:val="38"/>
  </w:num>
  <w:num w:numId="16">
    <w:abstractNumId w:val="21"/>
  </w:num>
  <w:num w:numId="17">
    <w:abstractNumId w:val="4"/>
  </w:num>
  <w:num w:numId="18">
    <w:abstractNumId w:val="33"/>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7"/>
  </w:num>
  <w:num w:numId="22">
    <w:abstractNumId w:val="13"/>
  </w:num>
  <w:num w:numId="23">
    <w:abstractNumId w:val="12"/>
  </w:num>
  <w:num w:numId="24">
    <w:abstractNumId w:val="11"/>
  </w:num>
  <w:num w:numId="25">
    <w:abstractNumId w:val="24"/>
  </w:num>
  <w:num w:numId="26">
    <w:abstractNumId w:val="23"/>
  </w:num>
  <w:num w:numId="27">
    <w:abstractNumId w:val="44"/>
  </w:num>
  <w:num w:numId="28">
    <w:abstractNumId w:val="30"/>
  </w:num>
  <w:num w:numId="29">
    <w:abstractNumId w:val="35"/>
  </w:num>
  <w:num w:numId="30">
    <w:abstractNumId w:val="32"/>
  </w:num>
  <w:num w:numId="31">
    <w:abstractNumId w:val="34"/>
  </w:num>
  <w:num w:numId="32">
    <w:abstractNumId w:val="37"/>
  </w:num>
  <w:num w:numId="33">
    <w:abstractNumId w:val="25"/>
  </w:num>
  <w:num w:numId="34">
    <w:abstractNumId w:val="45"/>
  </w:num>
  <w:num w:numId="35">
    <w:abstractNumId w:val="26"/>
  </w:num>
  <w:num w:numId="36">
    <w:abstractNumId w:val="29"/>
  </w:num>
  <w:num w:numId="37">
    <w:abstractNumId w:val="10"/>
  </w:num>
  <w:num w:numId="38">
    <w:abstractNumId w:val="22"/>
  </w:num>
  <w:num w:numId="39">
    <w:abstractNumId w:val="15"/>
  </w:num>
  <w:num w:numId="40">
    <w:abstractNumId w:val="17"/>
  </w:num>
  <w:num w:numId="41">
    <w:abstractNumId w:val="2"/>
  </w:num>
  <w:num w:numId="42">
    <w:abstractNumId w:val="6"/>
  </w:num>
  <w:num w:numId="43">
    <w:abstractNumId w:val="41"/>
  </w:num>
  <w:num w:numId="44">
    <w:abstractNumId w:val="19"/>
  </w:num>
  <w:num w:numId="45">
    <w:abstractNumId w:val="16"/>
  </w:num>
  <w:num w:numId="46">
    <w:abstractNumId w:val="1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D5"/>
    <w:rsid w:val="000034B6"/>
    <w:rsid w:val="000130AB"/>
    <w:rsid w:val="00013AAB"/>
    <w:rsid w:val="000212ED"/>
    <w:rsid w:val="000221DF"/>
    <w:rsid w:val="0003692E"/>
    <w:rsid w:val="00044BD2"/>
    <w:rsid w:val="0005716E"/>
    <w:rsid w:val="00074C06"/>
    <w:rsid w:val="000A672F"/>
    <w:rsid w:val="000B4700"/>
    <w:rsid w:val="000C427B"/>
    <w:rsid w:val="000D723A"/>
    <w:rsid w:val="00103713"/>
    <w:rsid w:val="001134B2"/>
    <w:rsid w:val="00124583"/>
    <w:rsid w:val="00146D5F"/>
    <w:rsid w:val="00155820"/>
    <w:rsid w:val="00157591"/>
    <w:rsid w:val="001773D7"/>
    <w:rsid w:val="00180902"/>
    <w:rsid w:val="001A47E7"/>
    <w:rsid w:val="001A6255"/>
    <w:rsid w:val="001C6810"/>
    <w:rsid w:val="001C74D0"/>
    <w:rsid w:val="001D474F"/>
    <w:rsid w:val="001E6AD0"/>
    <w:rsid w:val="00206093"/>
    <w:rsid w:val="002221B5"/>
    <w:rsid w:val="00234EB9"/>
    <w:rsid w:val="002362F6"/>
    <w:rsid w:val="00237F65"/>
    <w:rsid w:val="002553DD"/>
    <w:rsid w:val="00260F9A"/>
    <w:rsid w:val="00263157"/>
    <w:rsid w:val="002876DD"/>
    <w:rsid w:val="0029585B"/>
    <w:rsid w:val="002A0182"/>
    <w:rsid w:val="002F3DEC"/>
    <w:rsid w:val="002F6945"/>
    <w:rsid w:val="00323EFA"/>
    <w:rsid w:val="003264F6"/>
    <w:rsid w:val="00333EF5"/>
    <w:rsid w:val="00342E67"/>
    <w:rsid w:val="00360AAD"/>
    <w:rsid w:val="00363AB3"/>
    <w:rsid w:val="003723F8"/>
    <w:rsid w:val="00393289"/>
    <w:rsid w:val="003979CA"/>
    <w:rsid w:val="003A4F39"/>
    <w:rsid w:val="003B0A55"/>
    <w:rsid w:val="003B237A"/>
    <w:rsid w:val="003B2F9A"/>
    <w:rsid w:val="003C2872"/>
    <w:rsid w:val="003E06F8"/>
    <w:rsid w:val="003E5324"/>
    <w:rsid w:val="003F0723"/>
    <w:rsid w:val="0040177E"/>
    <w:rsid w:val="00406081"/>
    <w:rsid w:val="0041551B"/>
    <w:rsid w:val="004343B8"/>
    <w:rsid w:val="00436C97"/>
    <w:rsid w:val="004460DB"/>
    <w:rsid w:val="00455495"/>
    <w:rsid w:val="00467C63"/>
    <w:rsid w:val="00472C1F"/>
    <w:rsid w:val="00472E6E"/>
    <w:rsid w:val="004A2745"/>
    <w:rsid w:val="004A7F07"/>
    <w:rsid w:val="004B774D"/>
    <w:rsid w:val="004C1CB7"/>
    <w:rsid w:val="004D4779"/>
    <w:rsid w:val="004D57CC"/>
    <w:rsid w:val="004E6246"/>
    <w:rsid w:val="004F102E"/>
    <w:rsid w:val="004F68AC"/>
    <w:rsid w:val="005059F7"/>
    <w:rsid w:val="00510DDF"/>
    <w:rsid w:val="00510E60"/>
    <w:rsid w:val="005143D7"/>
    <w:rsid w:val="005203E7"/>
    <w:rsid w:val="00530E16"/>
    <w:rsid w:val="00532F8F"/>
    <w:rsid w:val="00541912"/>
    <w:rsid w:val="00544B40"/>
    <w:rsid w:val="00563EA0"/>
    <w:rsid w:val="00587C47"/>
    <w:rsid w:val="00592C6A"/>
    <w:rsid w:val="005A1FF0"/>
    <w:rsid w:val="005B3132"/>
    <w:rsid w:val="005F3B30"/>
    <w:rsid w:val="00600A99"/>
    <w:rsid w:val="00626FB9"/>
    <w:rsid w:val="006400E4"/>
    <w:rsid w:val="006401BF"/>
    <w:rsid w:val="006846B2"/>
    <w:rsid w:val="00685432"/>
    <w:rsid w:val="006B0CB8"/>
    <w:rsid w:val="006C457F"/>
    <w:rsid w:val="006C654A"/>
    <w:rsid w:val="006D2D3A"/>
    <w:rsid w:val="006D69EE"/>
    <w:rsid w:val="006E3D66"/>
    <w:rsid w:val="006F14D9"/>
    <w:rsid w:val="006F5788"/>
    <w:rsid w:val="0071360C"/>
    <w:rsid w:val="007144EE"/>
    <w:rsid w:val="00720AC2"/>
    <w:rsid w:val="00723957"/>
    <w:rsid w:val="00756F11"/>
    <w:rsid w:val="00765F67"/>
    <w:rsid w:val="00776CF9"/>
    <w:rsid w:val="0077702D"/>
    <w:rsid w:val="0078235F"/>
    <w:rsid w:val="00793B35"/>
    <w:rsid w:val="007A5197"/>
    <w:rsid w:val="007C4BEE"/>
    <w:rsid w:val="007C53DE"/>
    <w:rsid w:val="007D09FB"/>
    <w:rsid w:val="007D7DC8"/>
    <w:rsid w:val="00804147"/>
    <w:rsid w:val="00871121"/>
    <w:rsid w:val="00874188"/>
    <w:rsid w:val="00885640"/>
    <w:rsid w:val="00897EB5"/>
    <w:rsid w:val="008A5272"/>
    <w:rsid w:val="008B0B80"/>
    <w:rsid w:val="008B6631"/>
    <w:rsid w:val="008C41B4"/>
    <w:rsid w:val="008C5BCD"/>
    <w:rsid w:val="008C7FDB"/>
    <w:rsid w:val="008D7BD0"/>
    <w:rsid w:val="008E5470"/>
    <w:rsid w:val="008E6575"/>
    <w:rsid w:val="0090531E"/>
    <w:rsid w:val="00925CA3"/>
    <w:rsid w:val="0093574A"/>
    <w:rsid w:val="009577D5"/>
    <w:rsid w:val="00960E13"/>
    <w:rsid w:val="0096372F"/>
    <w:rsid w:val="00970EEC"/>
    <w:rsid w:val="00975A3D"/>
    <w:rsid w:val="00975C77"/>
    <w:rsid w:val="00977965"/>
    <w:rsid w:val="009D6DC7"/>
    <w:rsid w:val="009F0514"/>
    <w:rsid w:val="009F7DE8"/>
    <w:rsid w:val="00A03F28"/>
    <w:rsid w:val="00A25210"/>
    <w:rsid w:val="00A2740D"/>
    <w:rsid w:val="00A32AB2"/>
    <w:rsid w:val="00A6281C"/>
    <w:rsid w:val="00A7542A"/>
    <w:rsid w:val="00A75C57"/>
    <w:rsid w:val="00A76E8C"/>
    <w:rsid w:val="00AB6AEE"/>
    <w:rsid w:val="00B05F5C"/>
    <w:rsid w:val="00B07C80"/>
    <w:rsid w:val="00B209D4"/>
    <w:rsid w:val="00B316F0"/>
    <w:rsid w:val="00B324A8"/>
    <w:rsid w:val="00B34EC7"/>
    <w:rsid w:val="00B55504"/>
    <w:rsid w:val="00B72F99"/>
    <w:rsid w:val="00B87268"/>
    <w:rsid w:val="00B87EDC"/>
    <w:rsid w:val="00BB3735"/>
    <w:rsid w:val="00BB4A67"/>
    <w:rsid w:val="00BC26B3"/>
    <w:rsid w:val="00BC5D47"/>
    <w:rsid w:val="00BD0E0B"/>
    <w:rsid w:val="00BF08D5"/>
    <w:rsid w:val="00BF704E"/>
    <w:rsid w:val="00C220B5"/>
    <w:rsid w:val="00C34965"/>
    <w:rsid w:val="00C36CC1"/>
    <w:rsid w:val="00C6273D"/>
    <w:rsid w:val="00C661A6"/>
    <w:rsid w:val="00C70D01"/>
    <w:rsid w:val="00CA7FBD"/>
    <w:rsid w:val="00CE224B"/>
    <w:rsid w:val="00D027A8"/>
    <w:rsid w:val="00D20023"/>
    <w:rsid w:val="00D475C5"/>
    <w:rsid w:val="00D477EA"/>
    <w:rsid w:val="00D50047"/>
    <w:rsid w:val="00D52436"/>
    <w:rsid w:val="00D558F4"/>
    <w:rsid w:val="00D60132"/>
    <w:rsid w:val="00D819C4"/>
    <w:rsid w:val="00D847D5"/>
    <w:rsid w:val="00DA0285"/>
    <w:rsid w:val="00DA195D"/>
    <w:rsid w:val="00DA1BFA"/>
    <w:rsid w:val="00DA4D90"/>
    <w:rsid w:val="00DB3DD7"/>
    <w:rsid w:val="00DD5BA6"/>
    <w:rsid w:val="00DF2F12"/>
    <w:rsid w:val="00E27831"/>
    <w:rsid w:val="00E44A73"/>
    <w:rsid w:val="00E44C48"/>
    <w:rsid w:val="00E504E5"/>
    <w:rsid w:val="00E60C23"/>
    <w:rsid w:val="00E700A7"/>
    <w:rsid w:val="00E7505A"/>
    <w:rsid w:val="00EC2BF0"/>
    <w:rsid w:val="00ED1577"/>
    <w:rsid w:val="00EE4C4E"/>
    <w:rsid w:val="00EE5361"/>
    <w:rsid w:val="00EF30F7"/>
    <w:rsid w:val="00EF556B"/>
    <w:rsid w:val="00F12645"/>
    <w:rsid w:val="00F43C7C"/>
    <w:rsid w:val="00F5733B"/>
    <w:rsid w:val="00F63CF9"/>
    <w:rsid w:val="00F95CEA"/>
    <w:rsid w:val="00F9658A"/>
    <w:rsid w:val="00FA4940"/>
    <w:rsid w:val="00FD00D6"/>
    <w:rsid w:val="00FD170E"/>
    <w:rsid w:val="00FD4EE6"/>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D847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847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7D5"/>
    <w:rPr>
      <w:rFonts w:ascii="Times New Roman" w:eastAsia="Times New Roman" w:hAnsi="Times New Roman" w:cs="Times New Roman"/>
      <w:b/>
      <w:bCs/>
      <w:sz w:val="24"/>
      <w:szCs w:val="24"/>
    </w:rPr>
  </w:style>
  <w:style w:type="character" w:customStyle="1" w:styleId="Heading1Char">
    <w:name w:val="Heading 1 Char"/>
    <w:basedOn w:val="DefaultParagraphFont"/>
    <w:uiPriority w:val="9"/>
    <w:rsid w:val="00D847D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D847D5"/>
    <w:rPr>
      <w:rFonts w:ascii="Arial" w:eastAsia="Times New Roman" w:hAnsi="Arial" w:cs="Times New Roman"/>
      <w:b/>
      <w:bCs/>
      <w:kern w:val="32"/>
      <w:sz w:val="32"/>
      <w:szCs w:val="32"/>
    </w:rPr>
  </w:style>
  <w:style w:type="character" w:styleId="Emphasis">
    <w:name w:val="Emphasis"/>
    <w:basedOn w:val="DefaultParagraphFont"/>
    <w:qFormat/>
    <w:rsid w:val="00D847D5"/>
    <w:rPr>
      <w:i/>
      <w:iCs/>
    </w:rPr>
  </w:style>
  <w:style w:type="paragraph" w:styleId="BalloonText">
    <w:name w:val="Balloon Text"/>
    <w:basedOn w:val="Normal"/>
    <w:link w:val="BalloonTextChar"/>
    <w:uiPriority w:val="99"/>
    <w:semiHidden/>
    <w:unhideWhenUsed/>
    <w:rsid w:val="00D847D5"/>
    <w:rPr>
      <w:rFonts w:ascii="Tahoma" w:hAnsi="Tahoma" w:cs="Tahoma"/>
      <w:sz w:val="16"/>
      <w:szCs w:val="16"/>
    </w:rPr>
  </w:style>
  <w:style w:type="character" w:customStyle="1" w:styleId="BalloonTextChar">
    <w:name w:val="Balloon Text Char"/>
    <w:basedOn w:val="DefaultParagraphFont"/>
    <w:link w:val="BalloonText"/>
    <w:uiPriority w:val="99"/>
    <w:semiHidden/>
    <w:rsid w:val="00D847D5"/>
    <w:rPr>
      <w:rFonts w:ascii="Tahoma" w:eastAsia="Times New Roman" w:hAnsi="Tahoma" w:cs="Tahoma"/>
      <w:sz w:val="16"/>
      <w:szCs w:val="16"/>
    </w:rPr>
  </w:style>
  <w:style w:type="paragraph" w:styleId="ListParagraph">
    <w:name w:val="List Paragraph"/>
    <w:basedOn w:val="Normal"/>
    <w:uiPriority w:val="34"/>
    <w:qFormat/>
    <w:rsid w:val="00EF556B"/>
    <w:pPr>
      <w:ind w:left="720"/>
      <w:contextualSpacing/>
    </w:pPr>
  </w:style>
  <w:style w:type="paragraph" w:styleId="NormalWeb">
    <w:name w:val="Normal (Web)"/>
    <w:basedOn w:val="Normal"/>
    <w:uiPriority w:val="99"/>
    <w:semiHidden/>
    <w:unhideWhenUsed/>
    <w:rsid w:val="006846B2"/>
    <w:pPr>
      <w:spacing w:before="100" w:beforeAutospacing="1" w:after="100" w:afterAutospacing="1"/>
    </w:pPr>
  </w:style>
  <w:style w:type="character" w:styleId="Hyperlink">
    <w:name w:val="Hyperlink"/>
    <w:basedOn w:val="DefaultParagraphFont"/>
    <w:uiPriority w:val="99"/>
    <w:unhideWhenUsed/>
    <w:rsid w:val="00455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D847D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D847D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7D5"/>
    <w:rPr>
      <w:rFonts w:ascii="Times New Roman" w:eastAsia="Times New Roman" w:hAnsi="Times New Roman" w:cs="Times New Roman"/>
      <w:b/>
      <w:bCs/>
      <w:sz w:val="24"/>
      <w:szCs w:val="24"/>
    </w:rPr>
  </w:style>
  <w:style w:type="character" w:customStyle="1" w:styleId="Heading1Char">
    <w:name w:val="Heading 1 Char"/>
    <w:basedOn w:val="DefaultParagraphFont"/>
    <w:uiPriority w:val="9"/>
    <w:rsid w:val="00D847D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D847D5"/>
    <w:rPr>
      <w:rFonts w:ascii="Arial" w:eastAsia="Times New Roman" w:hAnsi="Arial" w:cs="Times New Roman"/>
      <w:b/>
      <w:bCs/>
      <w:kern w:val="32"/>
      <w:sz w:val="32"/>
      <w:szCs w:val="32"/>
    </w:rPr>
  </w:style>
  <w:style w:type="character" w:styleId="Emphasis">
    <w:name w:val="Emphasis"/>
    <w:basedOn w:val="DefaultParagraphFont"/>
    <w:qFormat/>
    <w:rsid w:val="00D847D5"/>
    <w:rPr>
      <w:i/>
      <w:iCs/>
    </w:rPr>
  </w:style>
  <w:style w:type="paragraph" w:styleId="BalloonText">
    <w:name w:val="Balloon Text"/>
    <w:basedOn w:val="Normal"/>
    <w:link w:val="BalloonTextChar"/>
    <w:uiPriority w:val="99"/>
    <w:semiHidden/>
    <w:unhideWhenUsed/>
    <w:rsid w:val="00D847D5"/>
    <w:rPr>
      <w:rFonts w:ascii="Tahoma" w:hAnsi="Tahoma" w:cs="Tahoma"/>
      <w:sz w:val="16"/>
      <w:szCs w:val="16"/>
    </w:rPr>
  </w:style>
  <w:style w:type="character" w:customStyle="1" w:styleId="BalloonTextChar">
    <w:name w:val="Balloon Text Char"/>
    <w:basedOn w:val="DefaultParagraphFont"/>
    <w:link w:val="BalloonText"/>
    <w:uiPriority w:val="99"/>
    <w:semiHidden/>
    <w:rsid w:val="00D847D5"/>
    <w:rPr>
      <w:rFonts w:ascii="Tahoma" w:eastAsia="Times New Roman" w:hAnsi="Tahoma" w:cs="Tahoma"/>
      <w:sz w:val="16"/>
      <w:szCs w:val="16"/>
    </w:rPr>
  </w:style>
  <w:style w:type="paragraph" w:styleId="ListParagraph">
    <w:name w:val="List Paragraph"/>
    <w:basedOn w:val="Normal"/>
    <w:uiPriority w:val="34"/>
    <w:qFormat/>
    <w:rsid w:val="00EF556B"/>
    <w:pPr>
      <w:ind w:left="720"/>
      <w:contextualSpacing/>
    </w:pPr>
  </w:style>
  <w:style w:type="paragraph" w:styleId="NormalWeb">
    <w:name w:val="Normal (Web)"/>
    <w:basedOn w:val="Normal"/>
    <w:uiPriority w:val="99"/>
    <w:semiHidden/>
    <w:unhideWhenUsed/>
    <w:rsid w:val="006846B2"/>
    <w:pPr>
      <w:spacing w:before="100" w:beforeAutospacing="1" w:after="100" w:afterAutospacing="1"/>
    </w:pPr>
  </w:style>
  <w:style w:type="character" w:styleId="Hyperlink">
    <w:name w:val="Hyperlink"/>
    <w:basedOn w:val="DefaultParagraphFont"/>
    <w:uiPriority w:val="99"/>
    <w:unhideWhenUsed/>
    <w:rsid w:val="00455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81">
      <w:bodyDiv w:val="1"/>
      <w:marLeft w:val="0"/>
      <w:marRight w:val="0"/>
      <w:marTop w:val="0"/>
      <w:marBottom w:val="0"/>
      <w:divBdr>
        <w:top w:val="none" w:sz="0" w:space="0" w:color="auto"/>
        <w:left w:val="none" w:sz="0" w:space="0" w:color="auto"/>
        <w:bottom w:val="none" w:sz="0" w:space="0" w:color="auto"/>
        <w:right w:val="none" w:sz="0" w:space="0" w:color="auto"/>
      </w:divBdr>
    </w:div>
    <w:div w:id="404882049">
      <w:bodyDiv w:val="1"/>
      <w:marLeft w:val="0"/>
      <w:marRight w:val="0"/>
      <w:marTop w:val="0"/>
      <w:marBottom w:val="0"/>
      <w:divBdr>
        <w:top w:val="none" w:sz="0" w:space="0" w:color="auto"/>
        <w:left w:val="none" w:sz="0" w:space="0" w:color="auto"/>
        <w:bottom w:val="none" w:sz="0" w:space="0" w:color="auto"/>
        <w:right w:val="none" w:sz="0" w:space="0" w:color="auto"/>
      </w:divBdr>
    </w:div>
    <w:div w:id="619070280">
      <w:bodyDiv w:val="1"/>
      <w:marLeft w:val="0"/>
      <w:marRight w:val="0"/>
      <w:marTop w:val="0"/>
      <w:marBottom w:val="0"/>
      <w:divBdr>
        <w:top w:val="none" w:sz="0" w:space="0" w:color="auto"/>
        <w:left w:val="none" w:sz="0" w:space="0" w:color="auto"/>
        <w:bottom w:val="none" w:sz="0" w:space="0" w:color="auto"/>
        <w:right w:val="none" w:sz="0" w:space="0" w:color="auto"/>
      </w:divBdr>
    </w:div>
    <w:div w:id="680398590">
      <w:bodyDiv w:val="1"/>
      <w:marLeft w:val="0"/>
      <w:marRight w:val="0"/>
      <w:marTop w:val="0"/>
      <w:marBottom w:val="0"/>
      <w:divBdr>
        <w:top w:val="none" w:sz="0" w:space="0" w:color="auto"/>
        <w:left w:val="none" w:sz="0" w:space="0" w:color="auto"/>
        <w:bottom w:val="none" w:sz="0" w:space="0" w:color="auto"/>
        <w:right w:val="none" w:sz="0" w:space="0" w:color="auto"/>
      </w:divBdr>
    </w:div>
    <w:div w:id="766389959">
      <w:bodyDiv w:val="1"/>
      <w:marLeft w:val="0"/>
      <w:marRight w:val="0"/>
      <w:marTop w:val="0"/>
      <w:marBottom w:val="0"/>
      <w:divBdr>
        <w:top w:val="none" w:sz="0" w:space="0" w:color="auto"/>
        <w:left w:val="none" w:sz="0" w:space="0" w:color="auto"/>
        <w:bottom w:val="none" w:sz="0" w:space="0" w:color="auto"/>
        <w:right w:val="none" w:sz="0" w:space="0" w:color="auto"/>
      </w:divBdr>
    </w:div>
    <w:div w:id="781458543">
      <w:bodyDiv w:val="1"/>
      <w:marLeft w:val="0"/>
      <w:marRight w:val="0"/>
      <w:marTop w:val="0"/>
      <w:marBottom w:val="0"/>
      <w:divBdr>
        <w:top w:val="none" w:sz="0" w:space="0" w:color="auto"/>
        <w:left w:val="none" w:sz="0" w:space="0" w:color="auto"/>
        <w:bottom w:val="none" w:sz="0" w:space="0" w:color="auto"/>
        <w:right w:val="none" w:sz="0" w:space="0" w:color="auto"/>
      </w:divBdr>
    </w:div>
    <w:div w:id="809517071">
      <w:bodyDiv w:val="1"/>
      <w:marLeft w:val="0"/>
      <w:marRight w:val="0"/>
      <w:marTop w:val="0"/>
      <w:marBottom w:val="0"/>
      <w:divBdr>
        <w:top w:val="none" w:sz="0" w:space="0" w:color="auto"/>
        <w:left w:val="none" w:sz="0" w:space="0" w:color="auto"/>
        <w:bottom w:val="none" w:sz="0" w:space="0" w:color="auto"/>
        <w:right w:val="none" w:sz="0" w:space="0" w:color="auto"/>
      </w:divBdr>
    </w:div>
    <w:div w:id="926157339">
      <w:bodyDiv w:val="1"/>
      <w:marLeft w:val="0"/>
      <w:marRight w:val="0"/>
      <w:marTop w:val="0"/>
      <w:marBottom w:val="0"/>
      <w:divBdr>
        <w:top w:val="none" w:sz="0" w:space="0" w:color="auto"/>
        <w:left w:val="none" w:sz="0" w:space="0" w:color="auto"/>
        <w:bottom w:val="none" w:sz="0" w:space="0" w:color="auto"/>
        <w:right w:val="none" w:sz="0" w:space="0" w:color="auto"/>
      </w:divBdr>
    </w:div>
    <w:div w:id="980042952">
      <w:bodyDiv w:val="1"/>
      <w:marLeft w:val="0"/>
      <w:marRight w:val="0"/>
      <w:marTop w:val="0"/>
      <w:marBottom w:val="0"/>
      <w:divBdr>
        <w:top w:val="none" w:sz="0" w:space="0" w:color="auto"/>
        <w:left w:val="none" w:sz="0" w:space="0" w:color="auto"/>
        <w:bottom w:val="none" w:sz="0" w:space="0" w:color="auto"/>
        <w:right w:val="none" w:sz="0" w:space="0" w:color="auto"/>
      </w:divBdr>
    </w:div>
    <w:div w:id="989794320">
      <w:bodyDiv w:val="1"/>
      <w:marLeft w:val="0"/>
      <w:marRight w:val="0"/>
      <w:marTop w:val="0"/>
      <w:marBottom w:val="0"/>
      <w:divBdr>
        <w:top w:val="none" w:sz="0" w:space="0" w:color="auto"/>
        <w:left w:val="none" w:sz="0" w:space="0" w:color="auto"/>
        <w:bottom w:val="none" w:sz="0" w:space="0" w:color="auto"/>
        <w:right w:val="none" w:sz="0" w:space="0" w:color="auto"/>
      </w:divBdr>
    </w:div>
    <w:div w:id="1191071752">
      <w:bodyDiv w:val="1"/>
      <w:marLeft w:val="0"/>
      <w:marRight w:val="0"/>
      <w:marTop w:val="0"/>
      <w:marBottom w:val="0"/>
      <w:divBdr>
        <w:top w:val="none" w:sz="0" w:space="0" w:color="auto"/>
        <w:left w:val="none" w:sz="0" w:space="0" w:color="auto"/>
        <w:bottom w:val="none" w:sz="0" w:space="0" w:color="auto"/>
        <w:right w:val="none" w:sz="0" w:space="0" w:color="auto"/>
      </w:divBdr>
    </w:div>
    <w:div w:id="1225523830">
      <w:bodyDiv w:val="1"/>
      <w:marLeft w:val="0"/>
      <w:marRight w:val="0"/>
      <w:marTop w:val="0"/>
      <w:marBottom w:val="0"/>
      <w:divBdr>
        <w:top w:val="none" w:sz="0" w:space="0" w:color="auto"/>
        <w:left w:val="none" w:sz="0" w:space="0" w:color="auto"/>
        <w:bottom w:val="none" w:sz="0" w:space="0" w:color="auto"/>
        <w:right w:val="none" w:sz="0" w:space="0" w:color="auto"/>
      </w:divBdr>
    </w:div>
    <w:div w:id="1259220820">
      <w:bodyDiv w:val="1"/>
      <w:marLeft w:val="0"/>
      <w:marRight w:val="0"/>
      <w:marTop w:val="0"/>
      <w:marBottom w:val="0"/>
      <w:divBdr>
        <w:top w:val="none" w:sz="0" w:space="0" w:color="auto"/>
        <w:left w:val="none" w:sz="0" w:space="0" w:color="auto"/>
        <w:bottom w:val="none" w:sz="0" w:space="0" w:color="auto"/>
        <w:right w:val="none" w:sz="0" w:space="0" w:color="auto"/>
      </w:divBdr>
    </w:div>
    <w:div w:id="1611157538">
      <w:bodyDiv w:val="1"/>
      <w:marLeft w:val="0"/>
      <w:marRight w:val="0"/>
      <w:marTop w:val="0"/>
      <w:marBottom w:val="0"/>
      <w:divBdr>
        <w:top w:val="none" w:sz="0" w:space="0" w:color="auto"/>
        <w:left w:val="none" w:sz="0" w:space="0" w:color="auto"/>
        <w:bottom w:val="none" w:sz="0" w:space="0" w:color="auto"/>
        <w:right w:val="none" w:sz="0" w:space="0" w:color="auto"/>
      </w:divBdr>
    </w:div>
    <w:div w:id="1708530227">
      <w:bodyDiv w:val="1"/>
      <w:marLeft w:val="0"/>
      <w:marRight w:val="0"/>
      <w:marTop w:val="0"/>
      <w:marBottom w:val="0"/>
      <w:divBdr>
        <w:top w:val="none" w:sz="0" w:space="0" w:color="auto"/>
        <w:left w:val="none" w:sz="0" w:space="0" w:color="auto"/>
        <w:bottom w:val="none" w:sz="0" w:space="0" w:color="auto"/>
        <w:right w:val="none" w:sz="0" w:space="0" w:color="auto"/>
      </w:divBdr>
    </w:div>
    <w:div w:id="1846626850">
      <w:bodyDiv w:val="1"/>
      <w:marLeft w:val="0"/>
      <w:marRight w:val="0"/>
      <w:marTop w:val="0"/>
      <w:marBottom w:val="0"/>
      <w:divBdr>
        <w:top w:val="none" w:sz="0" w:space="0" w:color="auto"/>
        <w:left w:val="none" w:sz="0" w:space="0" w:color="auto"/>
        <w:bottom w:val="none" w:sz="0" w:space="0" w:color="auto"/>
        <w:right w:val="none" w:sz="0" w:space="0" w:color="auto"/>
      </w:divBdr>
    </w:div>
    <w:div w:id="1895120335">
      <w:bodyDiv w:val="1"/>
      <w:marLeft w:val="0"/>
      <w:marRight w:val="0"/>
      <w:marTop w:val="0"/>
      <w:marBottom w:val="0"/>
      <w:divBdr>
        <w:top w:val="none" w:sz="0" w:space="0" w:color="auto"/>
        <w:left w:val="none" w:sz="0" w:space="0" w:color="auto"/>
        <w:bottom w:val="none" w:sz="0" w:space="0" w:color="auto"/>
        <w:right w:val="none" w:sz="0" w:space="0" w:color="auto"/>
      </w:divBdr>
    </w:div>
    <w:div w:id="2094666699">
      <w:bodyDiv w:val="1"/>
      <w:marLeft w:val="0"/>
      <w:marRight w:val="0"/>
      <w:marTop w:val="0"/>
      <w:marBottom w:val="0"/>
      <w:divBdr>
        <w:top w:val="none" w:sz="0" w:space="0" w:color="auto"/>
        <w:left w:val="none" w:sz="0" w:space="0" w:color="auto"/>
        <w:bottom w:val="none" w:sz="0" w:space="0" w:color="auto"/>
        <w:right w:val="none" w:sz="0" w:space="0" w:color="auto"/>
      </w:divBdr>
    </w:div>
    <w:div w:id="20955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uthlyndenwi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atsupstrea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5310</Characters>
  <Application>Microsoft Office Word</Application>
  <DocSecurity>0</DocSecurity>
  <Lines>1327</Lines>
  <Paragraphs>822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 Central	1796 Front Street	Lynden, WA 98264</vt:lpstr>
      <vt:lpstr>Consent Agenda   </vt:lpstr>
      <vt:lpstr>Review and Approval of November 10 Minutes  </vt:lpstr>
    </vt:vector>
  </TitlesOfParts>
  <Company>Whatcom Farm Friends</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Bierlink</dc:creator>
  <cp:lastModifiedBy>Henry Bierlink</cp:lastModifiedBy>
  <cp:revision>2</cp:revision>
  <cp:lastPrinted>2015-06-09T15:47:00Z</cp:lastPrinted>
  <dcterms:created xsi:type="dcterms:W3CDTF">2015-12-23T17:28:00Z</dcterms:created>
  <dcterms:modified xsi:type="dcterms:W3CDTF">2015-12-23T17:28:00Z</dcterms:modified>
</cp:coreProperties>
</file>